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TFGMV — Zweck und Anwendungsbereich der Verordnung</w:t>
      </w:r>
    </w:p>
    <w:p>
      <w:r>
        <w:rPr>
          <w:color w:val="555555"/>
          <w:sz w:val="18"/>
        </w:rPr>
        <w:t xml:space="preserve">Transfusionsgesetz-Meldeverordnung</w:t>
      </w:r>
    </w:p>
    <w:p>
      <w:r>
        <w:rPr>
          <w:color w:val="555555"/>
          <w:sz w:val="18"/>
        </w:rPr>
        <w:t xml:space="preserve">Stand: 10.06.2019 (konsolidierte Textfassung, kein amtliches Inkrafttretensdatum)</w:t>
      </w:r>
    </w:p>
    <w:p>
      <w:r>
        <w:t xml:space="preserve">Zweck der Regelungen dieser Verordnung ist es, das Meldewesen nach dem Fünften Abschnitt des Transfusionsgesetzes übersichtlich und einheitlich zu gestalten, um effiziente Meldungen zu erhalten und die Voraussetzungen für eine optimale Auswertung der Daten für den Bericht der zuständigen Bundesoberbehörde nach § 21 Abs. 2 des Transfusionsgesetzes zu schaffen. Die Verordnung regelt die Erfassung der zu meldenden Angaben nach Art, Umfang und Darstellungsweise.</w:t>
      </w:r>
    </w:p>
    <w:p>
      <w:r>
        <w:rPr>
          <w:color w:val="555555"/>
          <w:sz w:val="17"/>
        </w:rPr>
        <w:t xml:space="preserve">Zitiervorschlag: § 1 TFGMV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https://recht.nulegal.eu/gesetze/TFGMV/1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