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TFG — Spenderimmunisierung</w:t>
      </w:r>
    </w:p>
    <w:p>
      <w:r>
        <w:rPr>
          <w:color w:val="555555"/>
          <w:sz w:val="18"/>
        </w:rPr>
        <w:t xml:space="preserve">Transfusionsgesetz</w:t>
      </w:r>
    </w:p>
    <w:p>
      <w:r>
        <w:rPr>
          <w:color w:val="555555"/>
          <w:sz w:val="18"/>
        </w:rPr>
        <w:t xml:space="preserve">Stand: 02.12.2019 (konsolidierte Textfassung, kein amtliches Inkrafttretensdatum)</w:t>
      </w:r>
    </w:p>
    <w:p>
      <w:r>
        <w:t xml:space="preserve">(1) Eine für die Gewinnung von Plasma zur Herstellung von speziellen Immunglobulinen erforderliche Spenderimmunisierung darf nur durchgeführt werden, wenn und solange sie im Interesse einer ausreichenden Versorgung der Bevölkerung mit diesen Arzneimitteln geboten ist. Sie ist nach dem Stand der medizinischen Wissenschaft und Technik durchzuführen.</w:t>
      </w:r>
    </w:p>
    <w:p>
      <w:r>
        <w:t xml:space="preserve">(2) Ein Immunisierungsprogramm darf nur durchgeführt werden, wenn und solange</w:t>
      </w:r>
    </w:p>
    <w:p>
      <w:pPr>
        <w:ind w:left="420"/>
      </w:pPr>
      <w:r>
        <w:t xml:space="preserve">1. die Risiken, die mit ihm für die Personen verbunden sind, bei denen es durchgeführt werden soll, ärztlich vertretbar sind,</w:t>
      </w:r>
    </w:p>
    <w:p>
      <w:pPr>
        <w:ind w:left="420"/>
      </w:pPr>
      <w:r>
        <w:t xml:space="preserve">2. die Personen, bei denen es durchgeführt werden soll, ihre schriftliche Einwilligung hierzu erteilt haben, nachdem sie durch eine ärztliche Person über Wesen, Bedeutung und Risiken der Immunisierung sowie die damit verbundene Verarbeitung personenbezogener Daten aufgeklärt worden sind und dies schriftlich oder elektronisch bestätigt haben,</w:t>
      </w:r>
    </w:p>
    <w:p>
      <w:pPr>
        <w:ind w:left="420"/>
      </w:pPr>
      <w:r>
        <w:t xml:space="preserve">3. seine Durchführung von einer ärztlichen Person, die nach dem Stand der medizinischen Wissenschaft sachkundig ist, geleitet wird,</w:t>
      </w:r>
    </w:p>
    <w:p>
      <w:pPr>
        <w:ind w:left="420"/>
      </w:pPr>
      <w:r>
        <w:t xml:space="preserve">4. ein dem Stand der medizinischen Wissenschaft entsprechender Immunisierungsplan vorliegt,</w:t>
      </w:r>
    </w:p>
    <w:p>
      <w:pPr>
        <w:ind w:left="420"/>
      </w:pPr>
      <w:r>
        <w:t xml:space="preserve">5. die ärztliche Kontrolle des Gesundheitszustandes der spendenden Personen während der Immunisierungsphase gewährleistet ist,</w:t>
      </w:r>
    </w:p>
    <w:p>
      <w:pPr>
        <w:ind w:left="420"/>
      </w:pPr>
      <w:r>
        <w:t xml:space="preserve">6. der zuständigen Behörde die Durchführung des Immunisierungsprogramms angezeigt worden ist und</w:t>
      </w:r>
    </w:p>
    <w:p>
      <w:pPr>
        <w:ind w:left="420"/>
      </w:pPr>
      <w:r>
        <w:t xml:space="preserve">7. das zustimmende Votum einer nach Landesrecht gebildeten und für die ärztliche Person nach Satz 1 Nr. 3 zuständigen und unabhängigen Ethik-Kommission vorliegt.</w:t>
      </w:r>
    </w:p>
    <w:p>
      <w:r>
        <w:t xml:space="preserve">Mit der Anzeige an die zuständige Behörde und der Einholung des Votums der Ethik-Kommission nach Nummern 6 und 7 dürfen keine personenbezogenen Daten übermittelt werden. Zur Immunisierung sollen zugelassene Arzneimittel angewendet werden.</w:t>
      </w:r>
    </w:p>
    <w:p>
      <w:r>
        <w:t xml:space="preserve">(3) Von der Durchführung des Immunisierungsprogramms ist auf der Grundlage des Immunisierungsplanes ein Protokoll anzufertigen (Immunisierungsprotokoll). Für das Immunisierungsprotokoll gilt § 11 entsprechend. Dies muss Aufzeichnungen über alle Ereignisse enthalten, die im Zusammenhang mit der Durchführung des Immunisierungsprogramms auftreten und die Gesundheit der spendenden Person oder den gewünschten Erfolg des Immunisierungsprogramms beeinträchtigen können. Zur Immunisierung angewendete Erythrozytenpräparate sind zu dokumentieren und der immunisierten Person zu bescheinigen.</w:t>
      </w:r>
    </w:p>
    <w:p>
      <w:r>
        <w:t xml:space="preserve">(4) Die in Absatz 3 Satz 3 genannten Ereignisse sind von der die Durchführung des Immunisierungsprogramms leitenden ärztlichen Person der Ethik-Kommission, der zuständigen Behörde und dem pharmazeutischen Unternehmer des zur Immunisierung verwendeten Arzneimittels unverzüglich mitzuteilen. Von betroffenen immunisierten Personen werden das Geburtsdatum und die Angabe des Geschlechtes übermittelt.</w:t>
      </w:r>
    </w:p>
    <w:p>
      <w:r>
        <w:rPr>
          <w:color w:val="555555"/>
          <w:sz w:val="17"/>
        </w:rPr>
        <w:t xml:space="preserve">Zitiervorschlag: § 8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