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TFG — Anforderungen zur Entnahme der Spende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anlässlich der Spendeentnahme vorzunehmende Feststellung der Identität der spendenden Person, die durchzuführenden Laboruntersuchungen und die Entnahme der Spende haben nach dem Stand der medizinischen Wissenschaft und Technik zu erfolgen.</w:t>
      </w:r>
    </w:p>
    <w:p>
      <w:r>
        <w:t xml:space="preserve">(2) Die Entnahme der Spende darf nur durch eine ärztliche Person oder durch anderes qualifiziertes Personal unter der Verantwortung einer ärztlichen Person erfolgen. Der Einsatz telemedizinischer Verfahren ist zulässig.</w:t>
      </w:r>
    </w:p>
    <w:p>
      <w:r>
        <w:rPr>
          <w:color w:val="555555"/>
          <w:sz w:val="17"/>
        </w:rPr>
        <w:t xml:space="preserve">Zitiervorschlag: § 7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