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TFG — Anforderungen an die Spendeeinrichtungen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Eine Spendeeinrichtung darf nur betrieben werden, wenn</w:t>
      </w:r>
    </w:p>
    <w:p>
      <w:pPr>
        <w:ind w:left="420"/>
      </w:pPr>
      <w:r>
        <w:t xml:space="preserve">1. eine ausreichende personelle, bauliche, räumliche und technische Ausstattung vorhanden ist,</w:t>
      </w:r>
    </w:p>
    <w:p>
      <w:pPr>
        <w:ind w:left="420"/>
      </w:pPr>
      <w:r>
        <w:t xml:space="preserve">2. die Spendeeinrichtung oder der Träger von Spendeeinrichtungen eine leitende ärztliche Person bestellt hat, die die erforderliche Sachkunde nach dem Stand der medizinischen Wissenschaft besitzt, und</w:t>
      </w:r>
    </w:p>
    <w:p>
      <w:pPr>
        <w:ind w:left="420"/>
      </w:pPr>
      <w:r>
        <w:t xml:space="preserve">3. bei der Durchführung der Spendeentnahmen von einem Menschen eine ärztliche Person vorhanden ist; der Einsatz telemedizinischer Verfahren ist zulässig.</w:t>
      </w:r>
    </w:p>
    <w:p>
      <w:r>
        <w:t xml:space="preserve">Die leitende ärztliche Person nach Satz 1 Nr. 2 kann zugleich die ärztliche Person nach Satz 1 Nr. 3 sein. Der Schutz der Persönlichkeitssphäre der spendenden Personen, eine ordnungsgemäße Spendeentnahme und die Voraussetzungen für eine notfallmedizinische Versorgung der spendenden Personen sind sicherzustellen.</w:t>
      </w:r>
    </w:p>
    <w:p>
      <w:r>
        <w:rPr>
          <w:color w:val="555555"/>
          <w:sz w:val="17"/>
        </w:rPr>
        <w:t xml:space="preserve">Zitiervorschlag: § 4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