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TFG — Ausnahmen vom Anwendungsbereich</w:t>
      </w:r>
    </w:p>
    <w:p>
      <w:r>
        <w:rPr>
          <w:color w:val="555555"/>
          <w:sz w:val="18"/>
        </w:rPr>
        <w:t xml:space="preserve">Transfusionsgesetz</w:t>
      </w:r>
    </w:p>
    <w:p>
      <w:r>
        <w:rPr>
          <w:color w:val="555555"/>
          <w:sz w:val="18"/>
        </w:rPr>
        <w:t xml:space="preserve">Stand: 10.06.2019 (konsolidierte Textfassung, kein amtliches Inkrafttretensdatum)</w:t>
      </w:r>
    </w:p>
    <w:p>
      <w:r>
        <w:t xml:space="preserve">Dieses Gesetz findet keine Anwendung auf die Entnahme einer geringfügigen Menge Blut zu diagnostischen Zwecken, auf homöopathische Eigenblutprodukte, autologes Blut zur Herstellung von biotechnologisch bearbeiteten Gewebeprodukten und auf die Entnahme einer geringfügigen Menge Eigenblut zur Herstellung von Produkten für die zahnärztliche Behandlung, sofern diese Produkte in der Zahnarztpraxis auf der Grundlage des nach § 12a Absatz 3 in Verbindung mit Absatz 1 und 2 und nach § 18 Absatz 3 in Verbindung mit Absatz 1 und 2 festgestellten allgemein anerkannten Standes der Erkenntnisse der zahnmedizinischen Wissenschaft und Technik hergestellt und angewendet werden.</w:t>
      </w:r>
    </w:p>
    <w:p>
      <w:r>
        <w:rPr>
          <w:color w:val="555555"/>
          <w:sz w:val="17"/>
        </w:rPr>
        <w:t xml:space="preserve">Zitiervorschlag: § 28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