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TFG — Bundeswehr</w:t>
      </w:r>
    </w:p>
    <w:p>
      <w:r>
        <w:rPr>
          <w:color w:val="555555"/>
          <w:sz w:val="18"/>
        </w:rPr>
        <w:t xml:space="preserve">Transfusionsgesetz</w:t>
      </w:r>
    </w:p>
    <w:p>
      <w:r>
        <w:rPr>
          <w:color w:val="555555"/>
          <w:sz w:val="18"/>
        </w:rPr>
        <w:t xml:space="preserve">Stand: 10.06.2019 (konsolidierte Textfassung, kein amtliches Inkrafttretensdatum)</w:t>
      </w:r>
    </w:p>
    <w:p>
      <w:r>
        <w:t xml:space="preserve">(1) Die Vorschriften dieses Gesetzes finden auf Einrichtungen der Bundeswehr entsprechende Anwendung.</w:t>
      </w:r>
    </w:p>
    <w:p>
      <w:r>
        <w:t xml:space="preserve">(2) Im Geschäftsbereich des Bundesministeriums der Verteidigung obliegt der Vollzug dieses Gesetzes bei der Überwachung den zuständigen Stellen und Sachverständigen der Bundeswehr.</w:t>
      </w:r>
    </w:p>
    <w:p>
      <w:r>
        <w:t xml:space="preserve">(3) Das Bundesministerium der Verteidigung kann für seinen Geschäftsbereich im Einvernehmen mit dem Bundesministerium für Gesundheit in Einzelfällen Ausnahmen von diesem Gesetz und aufgrund dieses Gesetzes erlassenen Rechtsverordnungen zulassen, wenn dies zur Durchführung der besonderen Aufgaben gerechtfertigt ist und der Schutz der Gesundheit gewahrt bleibt.</w:t>
      </w:r>
    </w:p>
    <w:p>
      <w:r>
        <w:rPr>
          <w:color w:val="555555"/>
          <w:sz w:val="17"/>
        </w:rPr>
        <w:t xml:space="preserve">Zitiervorschlag: § 26 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