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TFG — Mitteilungspflichten der Behörden</w:t>
      </w:r>
    </w:p>
    <w:p>
      <w:r>
        <w:rPr>
          <w:color w:val="555555"/>
          <w:sz w:val="18"/>
        </w:rPr>
        <w:t xml:space="preserve">Transfusionsgesetz</w:t>
      </w:r>
    </w:p>
    <w:p>
      <w:r>
        <w:rPr>
          <w:color w:val="555555"/>
          <w:sz w:val="18"/>
        </w:rPr>
        <w:t xml:space="preserve">Stand: 10.06.2019 (konsolidierte Textfassung, kein amtliches Inkrafttretensdatum)</w:t>
      </w:r>
    </w:p>
    <w:p>
      <w:r>
        <w:t xml:space="preserve">Die für die Durchführung des Gesetzes zuständigen Behörden des Bundes und der Länder teilen sich für die in diesem Gesetz geregelten Zwecke gegenseitig ihnen bekannt gewordene Verdachtsfälle schwerwiegender unerwünschter Reaktionen oder Nebenwirkungen von Blutprodukten unverzüglich mit. § 16 Abs. 2 Satz 3 gilt entsprechend.</w:t>
      </w:r>
    </w:p>
    <w:p>
      <w:r>
        <w:rPr>
          <w:color w:val="555555"/>
          <w:sz w:val="17"/>
        </w:rPr>
        <w:t xml:space="preserve">Zitiervorschlag: § 25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