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TFG — Epidemiologische Daten</w:t>
      </w:r>
    </w:p>
    <w:p>
      <w:r>
        <w:rPr>
          <w:color w:val="555555"/>
          <w:sz w:val="18"/>
        </w:rPr>
        <w:t xml:space="preserve">Transfusionsgesetz</w:t>
      </w:r>
    </w:p>
    <w:p>
      <w:r>
        <w:rPr>
          <w:color w:val="555555"/>
          <w:sz w:val="18"/>
        </w:rPr>
        <w:t xml:space="preserve">Stand: 10.06.2019 (konsolidierte Textfassung, kein amtliches Inkrafttretensdatum)</w:t>
      </w:r>
    </w:p>
    <w:p>
      <w:r>
        <w:t xml:space="preserve">(1) Die Träger der Spendeeinrichtungen erstellen getrennt nach den einzelnen Spendeeinrichtungen vierteljährlich und jährlich unter Angabe der Gesamtzahl der getesteten Personen eine Liste über die Anzahl der spendenden Personen, die auf einen Infektionsmarker bestätigt positiv getestet worden sind, sowie vierteljährlich über die Anzahl der durchgeführten Untersuchungen. Personen, denen Eigenblut entnommen worden ist, sind ausgenommen. Die Zahlenangaben sind nach den verschiedenen Infektionsmarkern, auf die getestet wird, nach Art der Spende, nach Erstspendewilligen, Erst- und Wiederholungsspendern, nach Geschlecht und Alter, nach möglichem Infektionsweg, nach Selbstausschluss, nach Wohnregion sowie nach Vorspenden zu differenzieren. Die Liste ist bis zum Ende des auf den Berichtszeitraum folgenden Quartals der für die Epidemiologie zuständigen Bundesoberbehörde zuzuleiten. Werden die Listen wiederholt nicht oder unvollständig zugeleitet, ist die für die Überwachung zuständige Landesbehörde zu unterrichten. Besteht ein infektionsepidemiologisch aufklärungsbedürftiger Sachverhalt, bleibt die Befugnis, die zuständige Landesbehörde und die zuständige Bundesoberbehörde zu informieren, unberührt.</w:t>
      </w:r>
    </w:p>
    <w:p>
      <w:r>
        <w:t xml:space="preserve">(2) Die für die Epidemiologie zuständige Bundesoberbehörde stellt die Angaben in anonymisierter Form übersichtlich zusammen und macht eine jährliche Gesamtübersicht bis zum 30. September des folgenden Jahres bekannt. Melderbezogene Daten sind streng vertraulich zu behandeln.</w:t>
      </w:r>
    </w:p>
    <w:p>
      <w:r>
        <w:rPr>
          <w:color w:val="555555"/>
          <w:sz w:val="17"/>
        </w:rPr>
        <w:t xml:space="preserve">Zitiervorschlag: § 22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