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18 TFG — Stand der medizinischen und zahnmedizinischen Wissenschaft und Technik zur Anwendung von Blutprodukten</w:t>
      </w:r>
    </w:p>
    <w:p>
      <w:r>
        <w:rPr>
          <w:color w:val="555555"/>
          <w:sz w:val="18"/>
        </w:rPr>
        <w:t xml:space="preserve">Transfusionsgesetz</w:t>
      </w:r>
    </w:p>
    <w:p>
      <w:r>
        <w:rPr>
          <w:color w:val="555555"/>
          <w:sz w:val="18"/>
        </w:rPr>
        <w:t xml:space="preserve">Stand: 16.08.2019 (konsolidierte Textfassung, kein amtliches Inkrafttretensdatum)</w:t>
      </w:r>
    </w:p>
    <w:p>
      <w:r>
        <w:t xml:space="preserve">(1) Die Bundesärztekammer stellt im Einvernehmen mit der zuständigen Bundesoberbehörde und nach Anhörung von Sachverständigen unter Berücksichtigung der Richtlinien und Empfehlungen der Europäischen Union, des Europarates und der Weltgesundheitsorganisation zu Blut und Blutbestandteilen in Richtlinien den allgemein anerkannten Stand der Erkenntnisse der medizinischen Wissenschaft und Technik insbesondere für</w:t>
      </w:r>
    </w:p>
    <w:p>
      <w:pPr>
        <w:ind w:left="420"/>
      </w:pPr>
      <w:r>
        <w:t xml:space="preserve">1. die Anwendung von Blutprodukten, einschließlich der Dokumentation der Indikation zur Anwendung von Blutprodukten und Arzneimitteln zur spezifischen Therapie von Gerinnungsstörungen bei Hämophilie, die Testung auf Infektionsmarker der zu behandelnden Personen anlässlich der Anwendung von Blutprodukten und die Anforderungen an die Rückstellproben,</w:t>
      </w:r>
    </w:p>
    <w:p>
      <w:pPr>
        <w:ind w:left="420"/>
      </w:pPr>
      <w:r>
        <w:t xml:space="preserve">2. die Qualitätssicherung der Anwendung von Blutprodukten in den Einrichtungen der Krankenversorgung und ihre Überwachung durch die Ärzteschaft,</w:t>
      </w:r>
    </w:p>
    <w:p>
      <w:pPr>
        <w:ind w:left="420"/>
      </w:pPr>
      <w:r>
        <w:t xml:space="preserve">3. die Qualifikation und die Aufgaben der im engen Zusammenhang mit der Anwendung von Blutprodukten tätigen Personen,</w:t>
      </w:r>
    </w:p>
    <w:p>
      <w:pPr>
        <w:ind w:left="420"/>
      </w:pPr>
      <w:r>
        <w:t xml:space="preserve">4. den Umgang mit nicht angewendeten Blutprodukten in den Einrichtungen der Krankenversorgung</w:t>
      </w:r>
    </w:p>
    <w:p>
      <w:r>
        <w:t xml:space="preserve">fest. Bei der Erarbeitung ist die angemessene Beteiligung von Sachverständigen der betroffenen Fach- und Verkehrskreise, insbesondere der Träger der Spendeeinrichtungen, der Spitzenverbände der Krankenkassen, der Deutschen Krankenhausgesellschaft, der Kassenärztlichen Bundesvereinigung sowie der zuständigen Behörden von Bund und Ländern sicherzustellen. Die Richtlinien werden von der zuständigen Bundesoberbehörde im Bundesanzeiger bekannt gemacht.</w:t>
      </w:r>
    </w:p>
    <w:p>
      <w:r>
        <w:t xml:space="preserve">(2) Es wird vermutet, dass der allgemein anerkannte Stand der medizinischen Wissenschaft und Technik zu den Anforderungen nach diesem Abschnitt eingehalten worden ist, wenn und soweit die Richtlinien der Bundesärztekammer nach Absatz 1 beachtet worden sind.</w:t>
      </w:r>
    </w:p>
    <w:p>
      <w:r>
        <w:t xml:space="preserve">(3) Die Absätze 1 und 2 gelten für die Bundeszahnärztekammer im Bereich der Zahnheilkunde entsprechend.</w:t>
      </w:r>
    </w:p>
    <w:p>
      <w:r>
        <w:rPr>
          <w:color w:val="555555"/>
          <w:sz w:val="17"/>
        </w:rPr>
        <w:t xml:space="preserve">Zitiervorschlag: § 18 TFG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https://recht.nulegal.eu/gesetze/TFG/18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