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TFG — Qualitätssicherung</w:t>
      </w:r>
    </w:p>
    <w:p>
      <w:r>
        <w:rPr>
          <w:color w:val="555555"/>
          <w:sz w:val="18"/>
        </w:rPr>
        <w:t xml:space="preserve">Transfusionsgesetz</w:t>
      </w:r>
    </w:p>
    <w:p>
      <w:r>
        <w:rPr>
          <w:color w:val="555555"/>
          <w:sz w:val="18"/>
        </w:rPr>
        <w:t xml:space="preserve">Stand: 16.08.2019 (konsolidierte Textfassung, kein amtliches Inkrafttretensdatum)</w:t>
      </w:r>
    </w:p>
    <w:p>
      <w:r>
        <w:t xml:space="preserve">(1) Einrichtungen der Krankenversorgung, die Blutprodukte anwenden, haben ein System der Qualitätssicherung für die Anwendung von Blutprodukten nach dem Stand der medizinischen Wissenschaft und Technik einzurichten. Sie haben eine ärztliche Person zu bestellen, die für die transfusionsmedizinischen Aufgaben verantwortlich und mit den dafür erforderlichen Kompetenzen ausgestattet ist (transfusionsverantwortliche Person). Sie haben zusätzlich für jede Behandlungseinheit, in der Blutprodukte angewendet werden, eine ärztliche Person zu bestellen, die in der Krankenversorgung tätig ist und über transfusionsmedizinische Grundkenntnisse und Erfahrungen verfügt (transfusionsbeauftragte Person). Hat die Einrichtung der Krankenversorgung eine Spendeeinrichtung oder ein Institut für Transfusionsmedizin oder handelt es sich um eine Einrichtung der Krankenversorgung mit Akutversorgung, so ist zusätzlich eine Kommission für transfusionsmedizinische Angelegenheiten (Transfusionskommission) zu bilden.</w:t>
      </w:r>
    </w:p>
    <w:p>
      <w:r>
        <w:t xml:space="preserve">(2) Im Rahmen des Qualitätssicherungssystems sind die Qualifikation und die Aufgaben der Personen, die im engen Zusammenhang mit der Anwendung von Blutprodukten tätig sind, festzulegen. Zusätzlich sind die Grundsätze für die patientenbezogene Qualitätssicherung der Anwendung von Blutprodukten, insbesondere der Dokumentation, einschließlich der Dokumentation der Indikation zur Anwendung von Blutprodukten und Arzneimitteln zur spezifischen Therapie von Gerinnungsstörungen bei Hämophilie, und des fachübergreifenden Informationsaustausches, die Überwachung der Anwendung, die anwendungsbezogenen Wirkungen, Nebenwirkungen und unerwünschten Reaktionen und zusätzlich erforderliche therapeutische Maßnahmen festzulegen.</w:t>
      </w:r>
    </w:p>
    <w:p>
      <w:r>
        <w:rPr>
          <w:color w:val="555555"/>
          <w:sz w:val="17"/>
        </w:rPr>
        <w:t xml:space="preserve">Zitiervorschlag: § 15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