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TFG — Anforderungen an die Durchführung</w:t>
      </w:r>
    </w:p>
    <w:p>
      <w:r>
        <w:rPr>
          <w:color w:val="555555"/>
          <w:sz w:val="18"/>
        </w:rPr>
        <w:t xml:space="preserve">Transfusionsgesetz</w:t>
      </w:r>
    </w:p>
    <w:p>
      <w:r>
        <w:rPr>
          <w:color w:val="555555"/>
          <w:sz w:val="18"/>
        </w:rPr>
        <w:t xml:space="preserve">Stand: 10.06.2019 (konsolidierte Textfassung, kein amtliches Inkrafttretensdatum)</w:t>
      </w:r>
    </w:p>
    <w:p>
      <w:r>
        <w:t xml:space="preserve">(1) Blutprodukte sind nach dem Stand der medizinischen Wissenschaft und Technik anzuwenden. Es müssen die Anforderungen an die Identitätssicherung, die vorbereitenden Untersuchungen, einschließlich der vorgesehenen Testung auf Infektionsmarker und die Rückstellproben, die Technik der Anwendung sowie die Aufklärung und Einwilligung beachtet werden. Ärztliche Personen, die im Zusammenhang mit der Anwendung von Blutprodukten Laboruntersuchungen durchführen oder anfordern, müssen für diese Tätigkeiten besonders sachkundig sein. Die Anwendung von Eigenblut richtet sich auch nach den Besonderheiten dieser Blutprodukte. Die zu behandelnden Personen sind, soweit es nach dem Stand der medizinischen Wissenschaft vorgesehen ist, über die Möglichkeit der Anwendung von Eigenblut aufzuklären.</w:t>
      </w:r>
    </w:p>
    <w:p>
      <w:r>
        <w:t xml:space="preserve">(2) Die ärztlichen Personen, die eigenverantwortlich Blutprodukte anwenden, müssen ausreichende Erfahrung in dieser Tätigkeit besitzen.</w:t>
      </w:r>
    </w:p>
    <w:p>
      <w:r>
        <w:rPr>
          <w:color w:val="555555"/>
          <w:sz w:val="17"/>
        </w:rPr>
        <w:t xml:space="preserve">Zitiervorschlag: § 13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