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TEVO (Nordrhein-Westfalen)</w:t>
      </w:r>
    </w:p>
    <w:p>
      <w:r>
        <w:rPr>
          <w:color w:val="555555"/>
          <w:sz w:val="18"/>
        </w:rPr>
        <w:t xml:space="preserve">Trennungsentschädigungsverordnung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Mai 2022</w:t>
      </w:r>
    </w:p>
    <w:p>
      <w:r>
        <w:t xml:space="preserve">(Artikel 1 der Verordnung vom 6. Mai 2022 (GV. NRW. S. 771))</w:t>
      </w:r>
    </w:p>
    <w:p>
      <w:r>
        <w:t xml:space="preserve">Auf Grund des § 16 Absatz 1 Satz 3 und Absatz 2 des Landesreisekostengesetzes vom 1. Dezember 2021 (GV. NRW. S. 1367) und des § 3 Satz 1 des Landesumzugskostengesetzes in der Fassung der Bekanntmachung vom 6. Juli 1993 (GV. NRW. S. 464) verordnet das Ministerium der Finanzen, hinsichtlich des § 3 Satz 1 des Landesumzugskostengesetzes im Einvernehmen mit dem Ministerium des Innern:</w:t>
      </w:r>
    </w:p>
    <w:p>
      <w:r>
        <w:rPr>
          <w:color w:val="555555"/>
          <w:sz w:val="17"/>
        </w:rPr>
        <w:t xml:space="preserve">Zitiervorschlag: Eingangsformel TEVO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