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TEVO (Nordrhein-Westfalen) — Inkrafttreten, Außerkrafttreten, Übergangsregelung</w:t>
      </w:r>
    </w:p>
    <w:p>
      <w:r>
        <w:rPr>
          <w:color w:val="555555"/>
          <w:sz w:val="18"/>
        </w:rPr>
        <w:t xml:space="preserve">Trennungsentschädigungsverordnung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Tag nach der Verkündung in Kraft. Gleichzeitig tritt die Trennungsentschädigungsverordnung vom 29. April 1988 (GV. NRW. S. 226), die zuletzt durch Artikel 2 der Verordnung vom 28. März 2014 (GV. NRW. S. 238) geändert worden ist, außer Kraft.</w:t>
      </w:r>
    </w:p>
    <w:p>
      <w:r>
        <w:t xml:space="preserve">(2) Für dienstliche Maßnahmen, die bis zum 7. Juni 2022 begonnen haben, gelten die Vorschriften der Trennungsentschädigungsverordnung vom 29. April 1988 (GV. NRW. S. 226), die zuletzt durch Artikel 2 der Verordnung vom 28. März 2014 (GV. NRW. S. 238) geändert worden ist, fort. Dies gilt auch, wenn die dienstliche Maßnahme über den Zeitpunkt des Inkrafttretens dieser Verordnung hinaus andauert.</w:t>
      </w:r>
    </w:p>
    <w:p>
      <w:r>
        <w:rPr>
          <w:color w:val="555555"/>
          <w:sz w:val="17"/>
        </w:rPr>
        <w:t xml:space="preserve">Zitiervorschlag: § 13 TEVO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https://recht.nulegal.eu/gesetze/TEVO/13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