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TEVO (Nordrhein-Westfalen) — Besondere Bestimmungen für die Gemeinden, Gemeindeverbände und sonstigen der Aufsicht des Landes unterstehenden Körperschaften, Anstalten und Stiftungen des öffentlichen Rechts</w:t>
      </w:r>
    </w:p>
    <w:p>
      <w:r>
        <w:rPr>
          <w:color w:val="555555"/>
          <w:sz w:val="18"/>
        </w:rPr>
        <w:t xml:space="preserve">Trennungsentschädigungsverordnung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diese Verordnung der obersten Dienstbehörde gestattet, ihre Befugnisse zu übertragen, gelten bei den Gemeinden und Gemeindeverbänden für die Übertragung die Vorschriften des kommunalen Verfassungsrechts. In den Fällen des § 1 Absatz 2 Nummer 12 und des § 2 Absatz 3 Satz 2 tritt an die Stelle der obersten Dienstbehörde die oder der Dienstvorgesetzte.</w:t>
      </w:r>
    </w:p>
    <w:p>
      <w:r>
        <w:t xml:space="preserve">(2) Absatz 1 gilt entsprechend für die sonstigen der Aufsicht des Landes unterstehenden Körperschaften, Anstalten und Stiftungen des öffentlichen Rechts.</w:t>
      </w:r>
    </w:p>
    <w:p>
      <w:r>
        <w:rPr>
          <w:color w:val="555555"/>
          <w:sz w:val="17"/>
        </w:rPr>
        <w:t xml:space="preserve">Zitiervorschlag: § 11 TEVO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https://recht.nulegal.eu/gesetze/TEVO/11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