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TEHG 2025 — Emissionshandelsregister</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Berechtigungen und Emissionszertifikate werden in einem Emissionshandelsregister nach Artikel 19 der EU-Emissionshandelsrichtlinie gehalten und übertragen.</w:t>
      </w:r>
    </w:p>
    <w:p>
      <w:r>
        <w:t xml:space="preserve">(2) Soweit für jemanden eine Berechtigung oder ein Emissionszertifikat in das Emissionshandelsregister eingetragen ist, gilt der Inhalt des Registers als richtig. Dies gilt nicht für den Empfänger ausgegebener Berechtigungen, wenn ihm die Unrichtigkeit bei Ausgabe bekannt ist.</w:t>
      </w:r>
    </w:p>
    <w:p>
      <w:r>
        <w:rPr>
          <w:color w:val="555555"/>
          <w:sz w:val="17"/>
        </w:rPr>
        <w:t xml:space="preserve">Zitiervorschlag: § 9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https://recht.nulegal.eu/gesetze/TEHG%202025/9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