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TEHG 2025 — Überwachungsplan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Betreiber, Schifffahrtsunternehmen und Verantwortliche sind verpflichtet, bei der zuständigen Behörde für jede Handelsperiode einen Überwachungsplan für die Emissionsermittlung und Berichterstattung nach § 5 Absatz 1 zur Genehmigung einzureichen.</w:t>
      </w:r>
    </w:p>
    <w:p>
      <w:r>
        <w:t xml:space="preserve">(2) Die Genehmigung wird von der zuständigen Behörde erteilt, wenn der Überwachungsplan folgenden Vorgaben entspricht:</w:t>
      </w:r>
    </w:p>
    <w:p>
      <w:pPr>
        <w:ind w:left="420"/>
      </w:pPr>
      <w:r>
        <w:t xml:space="preserve">1. für Betreiber und Verantwortliche den Vorgaben der EU-Monitoring-Durchführungsverordnung und den Vorgaben der jeweils einschlägigen Rechtsverordnungen nach § 28 Absatz 1 Nummer 3, § 35 Absatz 1 Nummer 6 oder § 44 Absatz 1 Nummer 5 oder</w:t>
      </w:r>
    </w:p>
    <w:p>
      <w:pPr>
        <w:ind w:left="420"/>
      </w:pPr>
      <w:r>
        <w:t xml:space="preserve">2. für Schifffahrtsunternehmen den Vorgaben des Artikels 6 Absatz 3 bis 6 der EU-MRV-Seeverkehrsverordnung und der Rechtsverordnung nach § 40 Absatz 1 Nummer 2.</w:t>
      </w:r>
    </w:p>
    <w:p>
      <w:r>
        <w:t xml:space="preserve">Entspricht ein vorgelegter Überwachungsplan nicht diesen Vorgaben, ist der Betreiber, das Schifffahrtsunternehmen oder der Verantwortliche verpflichtet, die festgestellten Mängel innerhalb einer von der zuständigen Behörde festzusetzenden Frist zu beseitigen und den geänderten Überwachungsplan vorzulegen. Die zuständige Behörde kann die Genehmigung mit Auflagen für die Überwachung von und die Berichterstattung über Emissionen verbinden.</w:t>
      </w:r>
    </w:p>
    <w:p>
      <w:r>
        <w:t xml:space="preserve">(3) Für den Überwachungsplan gelten ergänzend</w:t>
      </w:r>
    </w:p>
    <w:p>
      <w:pPr>
        <w:ind w:left="420"/>
      </w:pPr>
      <w:r>
        <w:t xml:space="preserve">1. für Anlagenbetreiber die Anforderungen nach § 22,</w:t>
      </w:r>
    </w:p>
    <w:p>
      <w:pPr>
        <w:ind w:left="420"/>
      </w:pPr>
      <w:r>
        <w:t xml:space="preserve">2. für Luftfahrzeugbetreiber die Anforderungen nach § 31 Absatz 1, 2, 5 und 6,</w:t>
      </w:r>
    </w:p>
    <w:p>
      <w:pPr>
        <w:ind w:left="420"/>
      </w:pPr>
      <w:r>
        <w:t xml:space="preserve">3. für Schifffahrtsunternehmen die Anforderungen nach § 38 und</w:t>
      </w:r>
    </w:p>
    <w:p>
      <w:pPr>
        <w:ind w:left="420"/>
      </w:pPr>
      <w:r>
        <w:t xml:space="preserve">4. für Verantwortliche die Anforderungen nach § 42.</w:t>
      </w:r>
    </w:p>
    <w:p>
      <w:r>
        <w:t xml:space="preserve">(4) Betreiber, Schifffahrtsunternehmen und Verantwortliche müssen den Überwachungsplan innerhalb einer Handelsperiode unverzüglich anpassen und den angepassten Überwachungsplan bei der zuständigen Behörde zur Genehmigung einreichen, soweit sich die Anforderungen nach Absatz 2 ändern oder dies nach den ergänzenden Regelungen nach Absatz 3 erforderlich ist. Für den angepassten Überwachungsplan nach Satz 1 gilt Absatz 2 entsprechend.</w:t>
      </w:r>
    </w:p>
    <w:p>
      <w:r>
        <w:rPr>
          <w:color w:val="555555"/>
          <w:sz w:val="17"/>
        </w:rPr>
        <w:t xml:space="preserve">Zitiervorschlag: § 6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TEHG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