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TEHG 2025 — Ermittlung von Emissionen und Emissionsbericht</w:t>
      </w:r>
    </w:p>
    <w:p>
      <w:r>
        <w:rPr>
          <w:color w:val="555555"/>
          <w:sz w:val="18"/>
        </w:rPr>
        <w:t xml:space="preserve">Treibhausgas-Emissionshandelsgesetz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Betreiber, Schifffahrtsunternehmen und Verantwortliche sind verpflichtet, nach folgenden Maßgaben die durch ihre Tätigkeit in einem Kalenderjahr verursachten Emissionen zu ermitteln und der zuständigen Behörde über die Emissionen zu berichten:</w:t>
      </w:r>
    </w:p>
    <w:p>
      <w:pPr>
        <w:ind w:left="420"/>
      </w:pPr>
      <w:r>
        <w:t xml:space="preserve">1. für Anlagenbetreiber nach Maßgabe des § 21,</w:t>
      </w:r>
    </w:p>
    <w:p>
      <w:pPr>
        <w:ind w:left="420"/>
      </w:pPr>
      <w:r>
        <w:t xml:space="preserve">2. für Luftfahrzeugbetreiber nach Maßgabe des § 31 Absatz 6,</w:t>
      </w:r>
    </w:p>
    <w:p>
      <w:pPr>
        <w:ind w:left="420"/>
      </w:pPr>
      <w:r>
        <w:t xml:space="preserve">3. für Schifffahrtsunternehmen nach Maßgabe des § 37 und</w:t>
      </w:r>
    </w:p>
    <w:p>
      <w:pPr>
        <w:ind w:left="420"/>
      </w:pPr>
      <w:r>
        <w:t xml:space="preserve">4. für Verantwortliche nach Maßgabe des § 43 Absatz 1 und 2.</w:t>
      </w:r>
    </w:p>
    <w:p>
      <w:r>
        <w:t xml:space="preserve">(2) Die Angaben im Emissionsbericht nach Absatz 1 müssen von einer Prüfstelle nach § 14 Absatz 1 verifiziert worden sein.</w:t>
      </w:r>
    </w:p>
    <w:p>
      <w:r>
        <w:rPr>
          <w:color w:val="555555"/>
          <w:sz w:val="17"/>
        </w:rPr>
        <w:t xml:space="preserve">Zitiervorschlag: § 5 TEHG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https://recht.nulegal.eu/gesetze/TEHG%202025/5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