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TEHG 2025 — Emissionsgenehmigung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Eine Emissionsgenehmigung benötigen</w:t>
      </w:r>
    </w:p>
    <w:p>
      <w:pPr>
        <w:ind w:left="420"/>
      </w:pPr>
      <w:r>
        <w:t xml:space="preserve">1. Anlagenbetreiber zur Freisetzung von Treibhausgasen durch eine Tätigkeit nach Teil A Abschnitt 2 Nummer 1 bis 32 des Anhangs und</w:t>
      </w:r>
    </w:p>
    <w:p>
      <w:pPr>
        <w:ind w:left="420"/>
      </w:pPr>
      <w:r>
        <w:t xml:space="preserve">2. Verantwortliche zur Freisetzung von Treibhausgasen durch eine Tätigkeit nach Teil B Abschnitt 2 des Anhangs.</w:t>
      </w:r>
    </w:p>
    <w:p>
      <w:r>
        <w:t xml:space="preserve">(2) Für die Emissionsgenehmigung gelten ergänzend zu Absatz 1</w:t>
      </w:r>
    </w:p>
    <w:p>
      <w:pPr>
        <w:ind w:left="420"/>
      </w:pPr>
      <w:r>
        <w:t xml:space="preserve">1. für Anlagenbetreiber die Anforderungen nach § 20 und</w:t>
      </w:r>
    </w:p>
    <w:p>
      <w:pPr>
        <w:ind w:left="420"/>
      </w:pPr>
      <w:r>
        <w:t xml:space="preserve">2. für Verantwortliche die Anforderungen nach den §§ 41 und 42.</w:t>
      </w:r>
    </w:p>
    <w:p>
      <w:r>
        <w:t xml:space="preserve">(3) Die zuständige Behörde überprüft unabhängig von § 16 Absatz 1</w:t>
      </w:r>
    </w:p>
    <w:p>
      <w:pPr>
        <w:ind w:left="420"/>
      </w:pPr>
      <w:r>
        <w:t xml:space="preserve">1. mindestens alle fünf Jahre die Angaben in der Emissionsgenehmigung und</w:t>
      </w:r>
    </w:p>
    <w:p>
      <w:pPr>
        <w:ind w:left="420"/>
      </w:pPr>
      <w:r>
        <w:t xml:space="preserve">2. die Emissionsgenehmigungen oder die getroffenen Feststellungsentscheidungen zur Emissionshandelspflicht bei Änderungen</w:t>
      </w:r>
    </w:p>
    <w:p>
      <w:pPr>
        <w:ind w:left="780"/>
      </w:pPr>
      <w:r>
        <w:t xml:space="preserve">a) des Anwendungsbereichs oder der Tätigkeiten nach diesem Gesetz oder</w:t>
      </w:r>
    </w:p>
    <w:p>
      <w:pPr>
        <w:ind w:left="780"/>
      </w:pPr>
      <w:r>
        <w:t xml:space="preserve">b) in der Betriebsweise der Anlage, die dazu führen, dass die Durchführung einer Tätigkeit nach Teil A Abschnitt 2 Nummer 1 bis 32 des Anhangs in der Anlage dauerhaft technisch nicht mehr möglich ist.</w:t>
      </w:r>
    </w:p>
    <w:p>
      <w:r>
        <w:t xml:space="preserve">Sie ändert die Emissionsgenehmigung im Bedarfsfall entsprechend von Amts wegen. Die §§ 48 und 49 des Verwaltungsverfahrensgesetzes bleiben im Übrigen unberührt.</w:t>
      </w:r>
    </w:p>
    <w:p>
      <w:r>
        <w:rPr>
          <w:color w:val="555555"/>
          <w:sz w:val="17"/>
        </w:rPr>
        <w:t xml:space="preserve">Zitiervorschlag: § 4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