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TEHG 2025 — Berichterstattung und Abgabe von Berechtigungen für Schifffahrtsunternehmen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Ermittlung von Emissionen und die Emissionsberichterstattung von Schifffahrtsunternehmen richten sich nach Kapitel II der EU-MRV-Seeverkehrsverordnung mit der Maßgabe, dass</w:t>
      </w:r>
    </w:p>
    <w:p>
      <w:pPr>
        <w:ind w:left="420"/>
      </w:pPr>
      <w:r>
        <w:t xml:space="preserve">1. Emissionsberichte nach Artikel 11 Absatz 1 der EU-MRV-Seeverkehrsverordnung und</w:t>
      </w:r>
    </w:p>
    <w:p>
      <w:pPr>
        <w:ind w:left="420"/>
      </w:pPr>
      <w:r>
        <w:t xml:space="preserve">2. aggregierte Emissionsdaten auf Unternehmensebene nach Artikel 11a Absatz 2 der EU-MRV-Seeverkehrsverordnung</w:t>
      </w:r>
    </w:p>
    <w:p>
      <w:r>
        <w:t xml:space="preserve">jeweils bis zum 31. März des Folgejahres vorzulegen sind.</w:t>
      </w:r>
    </w:p>
    <w:p>
      <w:r>
        <w:t xml:space="preserve">(2) Die Angaben zu den aggregierten Emissionsdaten auf Unternehmensebene nach Absatz 1 Nummer 2 müssen nach Maßgabe der Prüfungs- und Akkreditierungsvorschriften in Kapitel III der EU-MRV-Seeverkehrsverordnung verifiziert worden sein.</w:t>
      </w:r>
    </w:p>
    <w:p>
      <w:r>
        <w:t xml:space="preserve">(3) Für die Abgabeverpflichtung des Schifffahrtsunternehmens nach § 7 Absatz 1 sind die aggregierten Emissionsdaten auf Unternehmensebene nach Absatz 1 Nummer 2 maßgeblich.</w:t>
      </w:r>
    </w:p>
    <w:p>
      <w:r>
        <w:rPr>
          <w:color w:val="555555"/>
          <w:sz w:val="17"/>
        </w:rPr>
        <w:t xml:space="preserve">Zitiervorschlag: § 37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