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TEHG 2025 — Veröffentlichung von Daten</w:t>
      </w:r>
    </w:p>
    <w:p>
      <w:r>
        <w:rPr>
          <w:color w:val="555555"/>
          <w:sz w:val="18"/>
        </w:rPr>
        <w:t xml:space="preserve">Treibhausgas-Emissionshandelsgesetz</w:t>
      </w:r>
    </w:p>
    <w:p>
      <w:r>
        <w:rPr>
          <w:color w:val="555555"/>
          <w:sz w:val="18"/>
        </w:rPr>
        <w:t xml:space="preserve">Stand: 13.04.2025 (konsolidierte Textfassung, kein amtliches Inkrafttretensdatum)</w:t>
      </w:r>
    </w:p>
    <w:p>
      <w:r>
        <w:t xml:space="preserve">Sofern die zuständige Behörde auf Antrag eines Luftfahrzeugbetreibers feststellt, dass die Veröffentlichung von Daten nach Artikel 14 Absatz 6 Unterabsatz 1 Satz 1 Buchstabe a und b der EU-Emissionshandelsrichtlinie seinem geschäftlichen Interesse schadet, kann die zuständige Behörde bei der Europäischen Kommission beantragen, diese Daten nicht auf Ebene der Luftfahrzeugbetreiber, sondern auf einer höheren Aggregationsebene zu veröffentlichen. Antragsberechtigt im Sinne von Satz 1 sind Luftfahrzeugbetreiber, die nur auf einer sehr begrenzten Zahl von Flugplatzpaaren oder in einer sehr begrenzten Zahl von Staatenpaaren tätig sind.</w:t>
      </w:r>
    </w:p>
    <w:p>
      <w:r>
        <w:rPr>
          <w:color w:val="555555"/>
          <w:sz w:val="17"/>
        </w:rPr>
        <w:t xml:space="preserve">Zitiervorschlag: § 34 TEHG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https://recht.nulegal.eu/gesetze/TEHG%202025/34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