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TEHG 2025 — Verordnungsermächtigungen für den Bereich Anlagen</w:t>
      </w:r>
    </w:p>
    <w:p>
      <w:r>
        <w:rPr>
          <w:color w:val="555555"/>
          <w:sz w:val="18"/>
        </w:rPr>
        <w:t xml:space="preserve">Treibhausgas-Emissionshandelsgesetz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Bundesregierung wird ermächtigt, durch Rechtsverordnung, die nicht der Zustimmung des Bundesrates bedarf, für den Bereich der Anlagen zu regeln:</w:t>
      </w:r>
    </w:p>
    <w:p>
      <w:pPr>
        <w:ind w:left="420"/>
      </w:pPr>
      <w:r>
        <w:t xml:space="preserve">1. Einzelheiten für die Zuteilung von kostenlosen Berechtigungen an Anlagenbetreiber nach § 23 sowie Einzelheiten für die Anpassung der Zuteilung auf Grund von Änderungen der Aktivitätsraten, insbesondere für</w:t>
      </w:r>
    </w:p>
    <w:p>
      <w:pPr>
        <w:ind w:left="780"/>
      </w:pPr>
      <w:r>
        <w:t xml:space="preserve">a) die Erhebung von Daten über die Emissionen und die Produktion von Anlagen und sonstiger für das Zuteilungsverfahren relevanter Daten,</w:t>
      </w:r>
    </w:p>
    <w:p>
      <w:pPr>
        <w:ind w:left="780"/>
      </w:pPr>
      <w:r>
        <w:t xml:space="preserve">b) die Bestimmung der Produktionsmenge oder sonstiger Größen, die zur Berechnung der Zuteilungsmenge und ihrer dynamischen Anpassung während der Handelsperiode erforderlich sind,</w:t>
      </w:r>
    </w:p>
    <w:p>
      <w:pPr>
        <w:ind w:left="780"/>
      </w:pPr>
      <w:r>
        <w:t xml:space="preserve">c) die Zuteilung für Neuanlagen, einschließlich der Bestimmung der Auslastung dieser Anlagen,</w:t>
      </w:r>
    </w:p>
    <w:p>
      <w:pPr>
        <w:ind w:left="780"/>
      </w:pPr>
      <w:r>
        <w:t xml:space="preserve">d) die Bestimmung der jährlich auszugebenden Mengen von kostenlosen Berechtigungen in der Zuteilungsentscheidung sowie den Übergang der Zuteilung im Fall der Teilung oder Zusammenlegung von Anlagen,</w:t>
      </w:r>
    </w:p>
    <w:p>
      <w:pPr>
        <w:ind w:left="780"/>
      </w:pPr>
      <w:r>
        <w:t xml:space="preserve">e) die im Antrag nach § 23 Absatz 2 Satz 1</w:t>
      </w:r>
    </w:p>
    <w:p>
      <w:pPr>
        <w:ind w:left="1140"/>
      </w:pPr>
      <w:r>
        <w:t xml:space="preserve">aa) erforderlichen Angaben und</w:t>
      </w:r>
    </w:p>
    <w:p>
      <w:pPr>
        <w:ind w:left="1140"/>
      </w:pPr>
      <w:r>
        <w:t xml:space="preserve">bb) erforderlichen Unterlagen sowie die Art der beizubringenden Nachweise,</w:t>
      </w:r>
    </w:p>
    <w:p>
      <w:pPr>
        <w:ind w:left="780"/>
      </w:pPr>
      <w:r>
        <w:t xml:space="preserve">f) die Anforderungen an die Verifizierung von Zuteilungsanträgen und Datenmitteilungen im Zusammenhang mit der Zuteilung sowie Ausnahmen von der Verifizierungspflicht und</w:t>
      </w:r>
    </w:p>
    <w:p>
      <w:pPr>
        <w:ind w:left="780"/>
      </w:pPr>
      <w:r>
        <w:t xml:space="preserve">g) Anforderungen und Nachweispflichten zu Klimaneutralitätsplänen;</w:t>
      </w:r>
    </w:p>
    <w:p>
      <w:pPr>
        <w:ind w:left="420"/>
      </w:pPr>
      <w:r>
        <w:t xml:space="preserve">2. Einzelheiten zur Anwendung des § 27 für Anlagen, die von demselben Betreiber am gleichen Standort in einem technischen Verbund betrieben werden; dies umfasst insbesondere Regelungen, dass</w:t>
      </w:r>
    </w:p>
    <w:p>
      <w:pPr>
        <w:ind w:left="780"/>
      </w:pPr>
      <w:r>
        <w:t xml:space="preserve">a) der Antrag nach § 27 auch zulässig ist für einheitliche Anlagen aus Anlagen nach Teil A Abschnitt 2 Nummer 1 bis 6 des Anhangs und anderen Anlagen nach Teil A Abschnitt 2 des Anhangs,</w:t>
      </w:r>
    </w:p>
    <w:p>
      <w:pPr>
        <w:ind w:left="780"/>
      </w:pPr>
      <w:r>
        <w:t xml:space="preserve">b) bei Anlagen nach Teil A Abschnitt 2 Nummer 8 bis 11 des Anhangs die Produktionsmengen der in den einbezogenen Anlagen hergestellten Produkte anzugeben sind,</w:t>
      </w:r>
    </w:p>
    <w:p>
      <w:pPr>
        <w:ind w:left="780"/>
      </w:pPr>
      <w:r>
        <w:t xml:space="preserve">c) Anlagen nach Teil A Abschnitt 2 Nummer 7 des Anhangs mit sonstigen in Teil A Abschnitt 2 des Anhangs aufgeführten Anlagen als einheitliche Anlage gelten;</w:t>
      </w:r>
    </w:p>
    <w:p>
      <w:pPr>
        <w:ind w:left="420"/>
      </w:pPr>
      <w:r>
        <w:t xml:space="preserve">3. Einzelheiten zur Erstellung und Änderung des Überwachungsplans nach § 6; abweichend von § 6 Absatz 3 können dabei auch für bestimmte Fallgruppen von Änderungen der Überwachung verlängerte Fristen für die Vorlage des geänderten Überwachungsplans festgelegt werden;</w:t>
      </w:r>
    </w:p>
    <w:p>
      <w:pPr>
        <w:ind w:left="420"/>
      </w:pPr>
      <w:r>
        <w:t xml:space="preserve">4. Einzelheiten zur Ermittlung von und Berichterstattung über Emissionen nach § 5 Absatz 1 und zur Verifizierung der Angaben in Emissionsberichten nach § 5 Absatz 2, einschließlich der Zulassung vereinfachter Maßnahmen zur Emissionsberichterstattung und zur Verifizierung;</w:t>
      </w:r>
    </w:p>
    <w:p>
      <w:pPr>
        <w:ind w:left="420"/>
      </w:pPr>
      <w:r>
        <w:t xml:space="preserve">5. Einzelheiten zur Erstellung der Nachweise für die Pflichtenfreistellung für Anlagen mit überwiegendem Biomasseeinsatz nach § 26 Absatz 3 und § 53.</w:t>
      </w:r>
    </w:p>
    <w:p>
      <w:r>
        <w:t xml:space="preserve">(2) Die Bundesregierung wird ermächtigt, durch Rechtsverordnung, die nicht der Zustimmung des Bundesrates bedarf, im Rahmen der Vorgaben der Artikel 27 und 27a der EU-Emissionshandelsrichtlinie den Ausschluss von Kleinemittenten aus dem europäischen Emissionshandelssystem auf Antrag des Anlagenbetreibers sowie weitere Erleichterungen für Kleinemittenten zu regeln, insbesondere</w:t>
      </w:r>
    </w:p>
    <w:p>
      <w:pPr>
        <w:ind w:left="420"/>
      </w:pPr>
      <w:r>
        <w:t xml:space="preserve">1. Erleichterungen bei der Emissionsberichterstattung für Anlagen mit jährlichen Emissionen von bis zu 5 000 Tonnen Kohlendioxid,</w:t>
      </w:r>
    </w:p>
    <w:p>
      <w:pPr>
        <w:ind w:left="420"/>
      </w:pPr>
      <w:r>
        <w:t xml:space="preserve">2. vereinfachte Emissionsnachweise für Anlagen mit jährlichen Emissionen von bis zu 2 500 Tonnen Kohlendioxid,</w:t>
      </w:r>
    </w:p>
    <w:p>
      <w:pPr>
        <w:ind w:left="420"/>
      </w:pPr>
      <w:r>
        <w:t xml:space="preserve">3. Vereinfachungen für die Verifizierung von Emissionsberichten,</w:t>
      </w:r>
    </w:p>
    <w:p>
      <w:pPr>
        <w:ind w:left="420"/>
      </w:pPr>
      <w:r>
        <w:t xml:space="preserve">4. Ausnahmen für die Verifizierung von Emissionsberichten,</w:t>
      </w:r>
    </w:p>
    <w:p>
      <w:pPr>
        <w:ind w:left="420"/>
      </w:pPr>
      <w:r>
        <w:t xml:space="preserve">5. im Rahmen der Umsetzung des Artikels 27 der EU-Emissionshandelsrichtlinie die Festlegung gleichwertiger Maßnahmen, insbesondere den Bezug von Brennstoffen, die der Abgabepflicht nach § 7 Absatz 2 unterliegen oder die Zahlung eines Ausgleichsbetrages als Kompensation für die wirtschaftlichen Vorteile aus der Freistellung von der Pflicht nach § 7 Absatz 1, einschließlich Regelungen zur Erhöhung dieses Ausgleichsbetrages im Fall nicht rechtzeitiger Zahlung, wobei sich die Höhe des Ausgleichsbetrages am Zukaufbedarf von Berechtigungen für die Anlage zu orientieren hat,</w:t>
      </w:r>
    </w:p>
    <w:p>
      <w:pPr>
        <w:ind w:left="420"/>
      </w:pPr>
      <w:r>
        <w:t xml:space="preserve">6. die Begrenzung des Ausschlusses von Kleinemittenten auf einzelne Zuteilungsperioden.</w:t>
      </w:r>
    </w:p>
    <w:p>
      <w:r>
        <w:t xml:space="preserve">(3) Die Verordnungsermächtigungen in den Absätzen 1 und 2 gelten nicht für Sachverhalte, die in unmittelbar geltenden Durchführungsrechtsakten oder delegierten Rechtsakten der Europäischen Kommission zur Durchführung der EU-Emissionshandelsrichtlinie abschließend geregelt sind oder die den Vollzug des § 4 für Tätigkeiten nach Teil A Abschnitt 2 Nummer 1 bis 30 des Anhangs betreffen.</w:t>
      </w:r>
    </w:p>
    <w:p>
      <w:r>
        <w:rPr>
          <w:color w:val="555555"/>
          <w:sz w:val="17"/>
        </w:rPr>
        <w:t xml:space="preserve">Zitiervorschlag: § 28 TEHG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https://recht.nulegal.eu/gesetze/TEHG%202025/28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