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TEHG 2025 — Einheitliche Anlage eines Anlagenbetreibers</w:t>
      </w:r>
    </w:p>
    <w:p>
      <w:r>
        <w:rPr>
          <w:color w:val="555555"/>
          <w:sz w:val="18"/>
        </w:rPr>
        <w:t xml:space="preserve">Treibhausgas-Emissionshandelsgesetz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Auf Antrag stellt die zuständige Behörde fest, dass das Betreiben mehrerer in Teil A Abschnitt 2 Nummer 7 sowie 8 bis 11 des Anhangs genannten Anlagen, die von demselben Betreiber an demselben Standort in einem technischen Verbund betrieben werden, für die Anwendung der §§ 5 bis 7 und 23 als Betrieb einer einheitlichen Anlage gilt, wenn die erforderliche Genauigkeit bei der Ermittlung der Emissionen gewährleistet ist.</w:t>
      </w:r>
    </w:p>
    <w:p>
      <w:r>
        <w:rPr>
          <w:color w:val="555555"/>
          <w:sz w:val="17"/>
        </w:rPr>
        <w:t xml:space="preserve">Zitiervorschlag: § 27 TEHG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https://recht.nulegal.eu/gesetze/TEHG%202025/27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