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TEHG 2025 — Zuteilung von kostenlosen Berechtigungen an Anlagenbetreiber</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Anlagenbetreiber erhalten eine Zuteilung von kostenlosen Berechtigungen nach Maßgabe der EU-Zuteilungs-Verordnung.</w:t>
      </w:r>
    </w:p>
    <w:p>
      <w:r>
        <w:t xml:space="preserve">(2) Anlagenbetreiber müssen die Zuteilung von kostenlosen Berechtigungen innerhalb einer von der zuständigen Behörde festzusetzenden Frist bei der zuständigen Behörde beantragen. Die zuständige Behörde macht die Frist nach Satz 1 spätestens bis zum Ablauf des dritten vor dem Ablauf der Frist nach Satz 1 endenden Kalendermonats im Bundesanzeiger bekannt. Dem Antrag sind die zur Prüfung des Anspruchs erforderlichen Unterlagen beizufügen. Die tatsächlichen Angaben im Zuteilungsantrag müssen von einer Prüfstelle nach § 14 Absatz 1 Nummer 1 verifiziert worden sein. Bei verspätetem Antrag besteht kein Anspruch auf kostenlose Zuteilung.</w:t>
      </w:r>
    </w:p>
    <w:p>
      <w:r>
        <w:t xml:space="preserve">(3) Die zuständige Behörde berechnet die vorläufigen Zuteilungsmengen, veröffentlicht eine Liste aller unter den Anwendungsbereich dieses Gesetzes fallenden Anlagen und der vorläufigen Zuteilungsmengen im Bundesanzeiger und meldet die Liste der Europäischen Kommission. Bei der Berechnung der vorläufigen Zuteilungsmengen werden nur solche Angaben des Betreibers berücksichtigt, deren Richtigkeit ausreichend gesichert ist. Rechtsbehelfe im Hinblick auf die Meldung der Zuteilungsmengen können nur gleichzeitig mit den gegen die Zuteilungsentscheidung zulässigen Rechtsbehelfen geltend gemacht werden.</w:t>
      </w:r>
    </w:p>
    <w:p>
      <w:r>
        <w:t xml:space="preserve">(4) Die zuständige Behörde entscheidet über die Zuteilung von kostenlosen Berechtigungen für eine Anlage an Anlagenbetreiber, die innerhalb der nach Absatz 2 Satz 2 bekannt gegebenen Frist einen Antrag gestellt haben.</w:t>
      </w:r>
    </w:p>
    <w:p>
      <w:r>
        <w:t xml:space="preserve">(5) Die Zuteilungsentscheidung ist aufzuheben, soweit sie auf Grund eines Rechtsakts der Europäischen Union nachträglich geändert werden muss. Im Übrigen bleiben die für die Rücknahme oder den Widerruf von Verwaltungsakten geltenden Vorschriften unberührt.</w:t>
      </w:r>
    </w:p>
    <w:p>
      <w:r>
        <w:rPr>
          <w:color w:val="555555"/>
          <w:sz w:val="17"/>
        </w:rPr>
        <w:t xml:space="preserve">Zitiervorschlag: § 23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