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TEHG 2025 — Anwendungsbereich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Dieses Gesetz gilt für die in Teil A Abschnitt 2 des Anhangs sowie für die in Teil B Abschnitt 2 des Anhangs aufgeführten Tätigkeiten.</w:t>
      </w:r>
    </w:p>
    <w:p>
      <w:r>
        <w:t xml:space="preserve">(2) Zur Bestimmung des Anwendungsbereichs dieses Gesetzes gelten ergänzend</w:t>
      </w:r>
    </w:p>
    <w:p>
      <w:pPr>
        <w:ind w:left="420"/>
      </w:pPr>
      <w:r>
        <w:t xml:space="preserve">1. § 19 für den Bereich Anlagen,</w:t>
      </w:r>
    </w:p>
    <w:p>
      <w:pPr>
        <w:ind w:left="420"/>
      </w:pPr>
      <w:r>
        <w:t xml:space="preserve">2. die §§ 29 und 33 Absatz 1 Satz 1 für den Bereich Luftverkehr und</w:t>
      </w:r>
    </w:p>
    <w:p>
      <w:pPr>
        <w:ind w:left="420"/>
      </w:pPr>
      <w:r>
        <w:t xml:space="preserve">3. § 36 Absatz 1 und 2 für den Bereich Seeverkehr.</w:t>
      </w:r>
    </w:p>
    <w:p>
      <w:r>
        <w:t xml:space="preserve">(3) Dieses Gesetz gilt auch für die Durchführung der EU-CBAM-Verordnung und der von der Europäischen Kommission zu dieser Verordnung erlassenen delegierten Rechtsakte und Durchführungsrechtsakte.</w:t>
      </w:r>
    </w:p>
    <w:p>
      <w:r>
        <w:t xml:space="preserve">(4) Dieses Gesetz gilt auch für die Überwachung und die Ahndung von Verstößen gegen die Überwachungs- und Berichterstattungspflichten nach Kapitel II der EU-MRV-Seeverkehrsverordnung.</w:t>
      </w:r>
    </w:p>
    <w:p>
      <w:r>
        <w:rPr>
          <w:color w:val="555555"/>
          <w:sz w:val="17"/>
        </w:rPr>
        <w:t xml:space="preserve">Zitiervorschlag: § 2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