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 TEHG 2025 — Verordnungsermächtigungen</w:t>
      </w:r>
    </w:p>
    <w:p>
      <w:r>
        <w:rPr>
          <w:color w:val="555555"/>
          <w:sz w:val="18"/>
        </w:rPr>
        <w:t xml:space="preserve">Treibhausgas-Emissionshandelsgesetz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Die Bundesregierung wird ermächtigt, durch Rechtsverordnung, die nicht der Zustimmung des Bundesrates bedarf,</w:t>
      </w:r>
    </w:p>
    <w:p>
      <w:pPr>
        <w:ind w:left="420"/>
      </w:pPr>
      <w:r>
        <w:t xml:space="preserve">1. Kohlendioxidäquivalente im Sinne von § 3 Nummer 3 zweiter Halbsatz für die einzelnen Treibhausgase nach Maßgabe internationaler Standards zu bestimmen;</w:t>
      </w:r>
    </w:p>
    <w:p>
      <w:pPr>
        <w:ind w:left="420"/>
      </w:pPr>
      <w:r>
        <w:t xml:space="preserve">2. Einzelheiten für die Versteigerung nach § 10 vorzusehen; dabei kann die Bundesregierung insbesondere Vorschriften erlassen über die Zulassung von Stellen, die Versteigerungen durchführen, über die Aufsicht über diese Stellen sowie über die Zulassung von weiteren Bietern;</w:t>
      </w:r>
    </w:p>
    <w:p>
      <w:pPr>
        <w:ind w:left="420"/>
      </w:pPr>
      <w:r>
        <w:t xml:space="preserve">3. die Methoden für die Akkreditierung von Prüfstellen nach § 14 Absatz 1 zu konkretisieren und weitere prüfungsbefugte Stellen für die Prüfung von Anträgen und Berichten im Anwendungsbereich dieses Gesetzes zu bestimmen;</w:t>
      </w:r>
    </w:p>
    <w:p>
      <w:pPr>
        <w:ind w:left="420"/>
      </w:pPr>
      <w:r>
        <w:t xml:space="preserve">4. Einzelheiten zur Überführung von Emissionsberechtigungen, die von Drittländern ausgegeben werden, nach § 8 Absatz 3 zu regeln;</w:t>
      </w:r>
    </w:p>
    <w:p>
      <w:pPr>
        <w:ind w:left="420"/>
      </w:pPr>
      <w:r>
        <w:t xml:space="preserve">5. Einzelheiten zur Einrichtung und Führung eines Emissionshandelsregisters nach § 9, insbesondere die in der Verordnung nach Artikel 19 Absatz 3 der EU-Emissionshandelsrichtlinie aufgeführten Sachverhalte zur ergänzenden Regelung durch die Mitgliedstaaten festzulegen.</w:t>
      </w:r>
    </w:p>
    <w:p>
      <w:r>
        <w:t xml:space="preserve">Die Verordnungsermächtigungen in Satz 1 gelten nicht für Sachverhalte, die in unmittelbar geltenden Durchführungsrechtsakten oder delegierten Rechtsakten der Europäischen Kommission zur Durchführung der EU-Emissionshandelsrichtlinie abschließend geregelt sind.</w:t>
      </w:r>
    </w:p>
    <w:p>
      <w:r>
        <w:t xml:space="preserve">(2) Die Bundesregierung wird ermächtigt, durch Rechtsverordnung, die nicht der Zustimmung des Bundesrates bedarf, Einzelheiten zur Durchführung der EU-CBAM-Verordnung zu regeln, soweit dies keine Sachverhalte betrifft, die in der EU-CBAM-Verordnung oder in unmittelbar geltenden Durchführungsrechtsakten oder delegierten Rechtsakten der Europäischen Kommission zur Durchführung der EU-CBAM-Verordnung abschließend geregelt sind.</w:t>
      </w:r>
    </w:p>
    <w:p>
      <w:r>
        <w:rPr>
          <w:color w:val="555555"/>
          <w:sz w:val="17"/>
        </w:rPr>
        <w:t xml:space="preserve">Zitiervorschlag: § 18 TEHG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https://recht.nulegal.eu/gesetze/TEHG%202025/18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