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TEHG 2011 — Ermittlung von Emissionen und Emissionsbericht</w:t>
      </w:r>
    </w:p>
    <w:p>
      <w:r>
        <w:rPr>
          <w:color w:val="555555"/>
          <w:sz w:val="18"/>
        </w:rPr>
        <w:t xml:space="preserve">Treibhausgas-Emissionshandelsgesetz</w:t>
      </w:r>
    </w:p>
    <w:p>
      <w:r>
        <w:rPr>
          <w:color w:val="555555"/>
          <w:sz w:val="18"/>
        </w:rPr>
        <w:t xml:space="preserve">Historische Fassung: Stand 10.06.2019 bis 13.04.2025. Dies ist nicht die aktuelle Fassung.</w:t>
      </w:r>
    </w:p>
    <w:p>
      <w:r>
        <w:t xml:space="preserve">(1) Der Betreiber hat die durch seine Tätigkeit in einem Kalenderjahr verursachten Emissionen nach Maßgabe des Anhangs 2 Teil 2 zu ermitteln und der zuständigen Behörde bis zum 31. März des Folgejahres über die Emissionen zu berichten.</w:t>
      </w:r>
    </w:p>
    <w:p>
      <w:r>
        <w:t xml:space="preserve">(2) Die Angaben im Emissionsbericht nach Absatz 1 müssen von einer Prüfstelle nach § 21 verifiziert worden sein.</w:t>
      </w:r>
    </w:p>
    <w:p>
      <w:r>
        <w:rPr>
          <w:color w:val="555555"/>
          <w:sz w:val="17"/>
        </w:rPr>
        <w:t xml:space="preserve">Zitiervorschlag: § 5 TEHG 2011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https://recht.nulegal.eu/gesetze/TEHG%202011/5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