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35 TEHG 2011 — Übergangsregelung für Luftfahrzeugbetreiber</w:t>
      </w:r>
    </w:p>
    <w:p>
      <w:r>
        <w:rPr>
          <w:color w:val="555555"/>
          <w:sz w:val="18"/>
        </w:rPr>
        <w:t xml:space="preserve">Treibhausgas-Emissionshandelsgesetz</w:t>
      </w:r>
    </w:p>
    <w:p>
      <w:r>
        <w:rPr>
          <w:color w:val="555555"/>
          <w:sz w:val="18"/>
        </w:rPr>
        <w:t xml:space="preserve">Historische Fassung: Stand 10.06.2019 bis 13.04.2025. Dies ist nicht die aktuelle Fassung.</w:t>
      </w:r>
    </w:p>
    <w:p>
      <w:r>
        <w:t xml:space="preserve">(1) Für die Freisetzung von Treibhausgasen durch Luftverkehrstätigkeiten im Sinne des Anhangs 1 Teil 2 Nummer 33 sind in Bezug auf die Handelsperiode 2013 bis 2020 die §§ 1 bis 36 in der bis zum Ablauf des 24. Januar 2019 geltenden Fassung weiter anzuwenden. Dies gilt auch, wenn die Luftverkehrstätigkeit erst zwischen dem 25. Januar 2019 und dem 31. Dezember 2020 aufgenommen wird.</w:t>
      </w:r>
    </w:p>
    <w:p>
      <w:r>
        <w:t xml:space="preserve">(2) Abweichend von § 6 Absatz 1 und 2 gilt der für das Jahr 2020 genehmigte Überwachungsplan für die Jahre 2021 bis 2023 fort.</w:t>
      </w:r>
    </w:p>
    <w:p>
      <w:r>
        <w:rPr>
          <w:color w:val="555555"/>
          <w:sz w:val="17"/>
        </w:rPr>
        <w:t xml:space="preserve">Zitiervorschlag: § 35 TEHG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https://recht.nulegal.eu/gesetze/TEHG%202011/35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