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TEHG 2011 — Übergangsregelung zur Gebührenerhebung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Historische Fassung: Stand 01.10.2021 bis 13.04.2025. Dies ist nicht die aktuelle Fassung.</w:t>
      </w:r>
    </w:p>
    <w:p>
      <w:r>
        <w:t xml:space="preserve">§ 22 Absatz 1 ist für die Erhebung von Gebühren für die Eröffnung und Verwaltung von Konten erst ab der Handelsperiode 2021 bis 2030 anzuwenden. § 22 Absatz 1 in der bis zum Ablauf des 24. Januar 2019 geltenden Fassung, ist für die Verwaltung von Konten für die Handelsperiode 2013 bis 2020 weiter anzuwenden.</w:t>
      </w:r>
    </w:p>
    <w:p>
      <w:r>
        <w:rPr>
          <w:color w:val="555555"/>
          <w:sz w:val="17"/>
        </w:rPr>
        <w:t xml:space="preserve">Zitiervorschlag: § 33 TEHG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https://recht.nulegal.eu/gesetze/TEHG%202011/33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