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TEHG 2011 — Durchsetzung der Abgabepflicht</w:t>
      </w:r>
    </w:p>
    <w:p>
      <w:r>
        <w:rPr>
          <w:color w:val="555555"/>
          <w:sz w:val="18"/>
        </w:rPr>
        <w:t xml:space="preserve">Treibhausgas-Emissionshandelsgesetz</w:t>
      </w:r>
    </w:p>
    <w:p>
      <w:r>
        <w:rPr>
          <w:color w:val="555555"/>
          <w:sz w:val="18"/>
        </w:rPr>
        <w:t xml:space="preserve">Historische Fassung: Stand 10.06.2019 bis 13.04.2025. Dies ist nicht die aktuelle Fassung.</w:t>
      </w:r>
    </w:p>
    <w:p>
      <w:r>
        <w:t xml:space="preserve">(1) Kommt ein Betreiber seiner Pflicht nach § 7 Absatz 1 nicht nach, so setzt die zuständige Behörde für jede emittierte Tonne Kohlendioxidäquivalent, für die der Betreiber keine Berechtigungen abgegeben hat, eine Zahlungspflicht von 100 Euro fest. Die Zahlungspflicht erhöht sich entsprechend dem Anstieg des Europäischen Verbraucherpreisindex für das Berichtsjahr gegenüber dem Bezugsjahr 2012; diese Jahresindizes werden vom Statistischen Amt der Europäischen Union (Eurostat) veröffentlicht. Von der Festsetzung einer Zahlungspflicht kann abgesehen werden, wenn der Betreiber seiner Pflicht nach § 7 Absatz 1 auf Grund höherer Gewalt nicht nachkommen konnte.</w:t>
      </w:r>
    </w:p>
    <w:p>
      <w:r>
        <w:t xml:space="preserve">(2) Soweit ein Betreiber nicht ordnungsgemäß über die durch seine Tätigkeit verursachten Emissionen berichtet hat, schätzt die zuständige Behörde die durch die Tätigkeit verursachten Emissionen entsprechend den Vorgaben des Anhangs 2 Teil 2. Die Schätzung ist Basis für die Verpflichtung nach § 7 Absatz 1. Die Schätzung unterbleibt, wenn der Betreiber im Rahmen der Anhörung zum Festsetzungsbescheid nach Absatz 1 seiner Berichtspflicht ordnungsgemäß nachkommt.</w:t>
      </w:r>
    </w:p>
    <w:p>
      <w:r>
        <w:t xml:space="preserve">(3) Der Betreiber bleibt verpflichtet, die fehlenden Berechtigungen bis zum 31. Januar des Folgejahres abzugeben; sind die Emissionen nach Absatz 2 geschätzt worden, so sind die Berechtigungen nach Maßgabe der erfolgten Schätzung abzugeben. Gibt der Betreiber die fehlenden Berechtigungen nicht bis zum 31. Januar des Folgejahres ab, so werden Berechtigungen, auf deren Zuteilung oder Ausgabe der Betreiber einen Anspruch hat, auf seine Verpflichtung nach Satz 1 angerechnet.</w:t>
      </w:r>
    </w:p>
    <w:p>
      <w:r>
        <w:t xml:space="preserve">(4) Die Namen der Betreiber, die gegen ihre Verpflichtung nach § 7 Absatz 1 verstoßen, werden im Bundesanzeiger veröffentlicht. Die Veröffentlichung setzt einen bestandskräftigen Zahlungsbescheid voraus.</w:t>
      </w:r>
    </w:p>
    <w:p>
      <w:r>
        <w:rPr>
          <w:color w:val="555555"/>
          <w:sz w:val="17"/>
        </w:rPr>
        <w:t xml:space="preserve">Zitiervorschlag: § 30 TEHG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https://recht.nulegal.eu/gesetze/TEHG%202011/30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