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TEHG 2011 — Begriffsbestimmungen</w:t>
      </w:r>
    </w:p>
    <w:p>
      <w:r>
        <w:rPr>
          <w:color w:val="555555"/>
          <w:sz w:val="18"/>
        </w:rPr>
        <w:t xml:space="preserve">Treibhausgas-Emissionshandelsgesetz</w:t>
      </w:r>
    </w:p>
    <w:p>
      <w:r>
        <w:rPr>
          <w:color w:val="555555"/>
          <w:sz w:val="18"/>
        </w:rPr>
        <w:t xml:space="preserve">Historische Fassung: Stand 01.01.2024 bis 13.04.2025. Dies ist nicht die aktuelle Fassung.</w:t>
      </w:r>
    </w:p>
    <w:p>
      <w:r>
        <w:t xml:space="preserve">Für dieses Gesetz gelten die folgenden Begriffsbestimmungen:</w:t>
      </w:r>
    </w:p>
    <w:p>
      <w:pPr>
        <w:ind w:left="420"/>
      </w:pPr>
      <w:r>
        <w:t xml:space="preserve">1. Anlageeine Betriebsstätte oder sonstige ortsfeste Einrichtung;</w:t>
      </w:r>
    </w:p>
    <w:p>
      <w:pPr>
        <w:ind w:left="420"/>
      </w:pPr>
      <w:r>
        <w:t xml:space="preserve">2. Anlagenbetreibereine natürliche oder juristische Person oder rechtsfähige Personengesellschaft, die die unmittelbare Entscheidungsgewalt über eine Anlage innehat, in der eine Tätigkeit nach Anhang 1 Teil 2 Nummer 1 bis 32 durchgeführt wird, und die dabei die wirtschaftlichen Risiken trägt; wer im Sinne des Bundes-Immissionsschutzgesetzes eine genehmigungsbedürftige Anlage betreibt, in der eine Tätigkeit nach Anhang 1 Teil 2 Nummer 1 bis 30 durchgeführt wird, ist Anlagenbetreiber nach Halbsatz 1;</w:t>
      </w:r>
    </w:p>
    <w:p>
      <w:pPr>
        <w:ind w:left="420"/>
      </w:pPr>
      <w:r>
        <w:t xml:space="preserve">3. Berechtigungdie Befugnis zur Emission von einer Tonne Kohlendioxidäquivalent in einem bestimmten Zeitraum; eine Tonne Kohlendioxidäquivalent ist eine Tonne Kohlendioxid oder die Menge eines anderen Treibhausgases, die in ihrem Potenzial zur Erwärmung der Atmosphäre einer Tonne Kohlendioxid entspricht;</w:t>
      </w:r>
    </w:p>
    <w:p>
      <w:pPr>
        <w:ind w:left="420"/>
      </w:pPr>
      <w:r>
        <w:t xml:space="preserve">4. Betreiberein Anlagenbetreiber oder Luftfahrzeugbetreiber;</w:t>
      </w:r>
    </w:p>
    <w:p>
      <w:pPr>
        <w:ind w:left="420"/>
      </w:pPr>
      <w:r>
        <w:t xml:space="preserve">5. Emissiondie Freisetzung von Treibhausgasen durch eine Tätigkeit nach Anhang 1 Teil 2; die Weiterleitung von Treibhausgasen steht nach Maßgabe der Monitoring-Verordnung der Freisetzung gleich;</w:t>
      </w:r>
    </w:p>
    <w:p>
      <w:pPr>
        <w:ind w:left="420"/>
      </w:pPr>
      <w:r>
        <w:t xml:space="preserve">6. (weggefallen)</w:t>
      </w:r>
    </w:p>
    <w:p>
      <w:pPr>
        <w:ind w:left="420"/>
      </w:pPr>
      <w:r>
        <w:t xml:space="preserve">7. Luftfahrzeugbetreibereine natürliche oder juristische Person oder rechtsfähige Personengesellschaft, die die unmittelbare Entscheidungsgewalt über ein Luftfahrzeug zu dem Zeitpunkt innehat, zu dem mit diesem eine Luftverkehrstätigkeit durchgeführt wird, und die dabei die wirtschaftlichen Risiken der Luftverkehrstätigkeit trägt, oder, wenn die Identität dieser Person nicht bekannt ist oder vom Luftfahrzeugeigentümer nicht angegeben wird, der Eigentümer des Luftfahrzeugs;</w:t>
      </w:r>
    </w:p>
    <w:p>
      <w:pPr>
        <w:ind w:left="420"/>
      </w:pPr>
      <w:r>
        <w:t xml:space="preserve">8. Luftverkehrsberechtigungeine Berechtigung, die für Emissionen des Luftverkehrs vergeben wird;</w:t>
      </w:r>
    </w:p>
    <w:p>
      <w:pPr>
        <w:ind w:left="420"/>
      </w:pPr>
      <w:r>
        <w:t xml:space="preserve">9. Luftverkehrstätigkeiteine Tätigkeit nach Anhang 1 Teil 2 Nummer 33;</w:t>
      </w:r>
    </w:p>
    <w:p>
      <w:pPr>
        <w:ind w:left="420"/>
      </w:pPr>
      <w:r>
        <w:t xml:space="preserve">10. Monitoring-Verordnungdie Verordnung (EU) Nr. 601/2012 der Kommission vom 21. Juni 2012 über die Überwachung von und die Berichterstattung über Treibhausgasemissionen gemäß der Richtlinie 2003/87/EG des Europäischen Parlaments und des Rates (ABl. L 181 vom 12.7.2012, S. 30) in der jeweils geltenden Fassung;</w:t>
      </w:r>
    </w:p>
    <w:p>
      <w:pPr>
        <w:ind w:left="420"/>
      </w:pPr>
      <w:r>
        <w:t xml:space="preserve">11. MRV-Seeverkehrsverordnungdie Verordnung (EU) 2015/757 des Europäischen Parlaments und des Rates vom 29. April 2015 über die Überwachung von Kohlendioxidemissionen aus dem Seeverkehr, die Berichterstattung darüber und die Prüfung dieser Emissionen und zur Änderung der Richtlinie 2009/16/EG (ABl. L 123 vom 19.5.2015, S. 55);</w:t>
      </w:r>
    </w:p>
    <w:p>
      <w:pPr>
        <w:ind w:left="420"/>
      </w:pPr>
      <w:r>
        <w:t xml:space="preserve">12. (weggefallen)</w:t>
      </w:r>
    </w:p>
    <w:p>
      <w:pPr>
        <w:ind w:left="420"/>
      </w:pPr>
      <w:r>
        <w:t xml:space="preserve">13. Produktionsleistungdie tatsächlich und rechtlich maximal mögliche Produktionsmenge pro Jahr;</w:t>
      </w:r>
    </w:p>
    <w:p>
      <w:pPr>
        <w:ind w:left="420"/>
      </w:pPr>
      <w:r>
        <w:t xml:space="preserve">14. Tätigkeiteine in Anhang 1 Teil 2 genannte Tätigkeit;</w:t>
      </w:r>
    </w:p>
    <w:p>
      <w:pPr>
        <w:ind w:left="420"/>
      </w:pPr>
      <w:r>
        <w:t xml:space="preserve">15. Transportleistungdas Produkt aus Flugstrecke und Nutzlast;</w:t>
      </w:r>
    </w:p>
    <w:p>
      <w:pPr>
        <w:ind w:left="420"/>
      </w:pPr>
      <w:r>
        <w:t xml:space="preserve">16. TreibhausgaseKohlendioxid (CO2), Methan (CH4), Distickstoffoxid (N2O), teilfluorierte Kohlenwasserstoffe (HFKW), perfluorierte Kohlenwasserstoffe (PFC) und Schwefelhexafluorid (SF6);</w:t>
      </w:r>
    </w:p>
    <w:p>
      <w:pPr>
        <w:ind w:left="420"/>
      </w:pPr>
      <w:r>
        <w:t xml:space="preserve">17. Überwachungsplaneine Darstellung der Methode, die ein Betreiber anwendet, um seine Emissionen zu ermitteln und darüber Bericht zu erstatten;</w:t>
      </w:r>
    </w:p>
    <w:p>
      <w:pPr>
        <w:ind w:left="420"/>
      </w:pPr>
      <w:r>
        <w:t xml:space="preserve">18. (weggefallen)</w:t>
      </w:r>
    </w:p>
    <w:p>
      <w:r>
        <w:rPr>
          <w:color w:val="555555"/>
          <w:sz w:val="17"/>
        </w:rPr>
        <w:t xml:space="preserve">Zitiervorschlag: § 3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