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TEHG 2011 — Durchsetzung der Berichtspflicht</w:t>
      </w:r>
    </w:p>
    <w:p>
      <w:r>
        <w:rPr>
          <w:color w:val="555555"/>
          <w:sz w:val="18"/>
        </w:rPr>
        <w:t xml:space="preserve">Treibhausgas-Emissionshandelsgesetz</w:t>
      </w:r>
    </w:p>
    <w:p>
      <w:r>
        <w:rPr>
          <w:color w:val="555555"/>
          <w:sz w:val="18"/>
        </w:rPr>
        <w:t xml:space="preserve">Historische Fassung: Stand 10.06.2019 bis 13.04.2025. Dies ist nicht die aktuelle Fassung.</w:t>
      </w:r>
    </w:p>
    <w:p>
      <w:r>
        <w:t xml:space="preserve">Kommt ein Betreiber seiner Berichtspflicht nach § 5 Absatz 1 nicht nach, so verfügt die zuständige Behörde die Sperrung seines Kontos. Die Sperrung ist unverzüglich aufzuheben, sobald der Betreiber der zuständigen Behörde einen den Anforderungen nach § 5 entsprechenden Bericht vorlegt oder eine Schätzung der Emissionen nach § 30 Absatz 2 Satz 1 erfolgt.</w:t>
      </w:r>
    </w:p>
    <w:p>
      <w:r>
        <w:rPr>
          <w:color w:val="555555"/>
          <w:sz w:val="17"/>
        </w:rPr>
        <w:t xml:space="preserve">Zitiervorschlag: § 29 TEHG 2011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https://recht.nulegal.eu/gesetze/TEHG%202011/29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