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TEHG 2011 — Verordnungsermächtigungen</w:t>
      </w:r>
    </w:p>
    <w:p>
      <w:r>
        <w:rPr>
          <w:color w:val="555555"/>
          <w:sz w:val="18"/>
        </w:rPr>
        <w:t xml:space="preserve">Treibhausgas-Emissionshandelsgesetz</w:t>
      </w:r>
    </w:p>
    <w:p>
      <w:r>
        <w:rPr>
          <w:color w:val="555555"/>
          <w:sz w:val="18"/>
        </w:rPr>
        <w:t xml:space="preserve">Historische Fassung: Stand 05.07.2020 bis 13.04.2025. Dies ist nicht die aktuelle Fassung.</w:t>
      </w:r>
    </w:p>
    <w:p>
      <w:r>
        <w:t xml:space="preserve">(1) Die Bundesregierung wird ermächtigt, durch Rechtsverordnung, die nicht der Zustimmung des Bundesrates bedarf,</w:t>
      </w:r>
    </w:p>
    <w:p>
      <w:pPr>
        <w:ind w:left="420"/>
      </w:pPr>
      <w:r>
        <w:t xml:space="preserve">1. die Kohlendioxidäquivalente im Sinne des § 3 Absatz 1 Nummer 3 für die einzelnen Treibhausgase nach Maßgabe internationaler Standards zu bestimmen;</w:t>
      </w:r>
    </w:p>
    <w:p>
      <w:pPr>
        <w:ind w:left="420"/>
      </w:pPr>
      <w:r>
        <w:t xml:space="preserve">2. Einzelheiten für die Versteigerung nach § 8 vorzusehen; dabei kann die Bundesregierung insbesondere Vorschriften erlassen über die Zulassung von Stellen, die Versteigerungen durchführen, über die Aufsicht über diese Stellen sowie über die Zulassung von weiteren Bietern;</w:t>
      </w:r>
    </w:p>
    <w:p>
      <w:pPr>
        <w:ind w:left="420"/>
      </w:pPr>
      <w:r>
        <w:t xml:space="preserve">3. Einzelheiten zu regeln für die Zuteilung von kostenlosen Berechtigungen an Anlagenbetreiber nach § 9 Absatz 1, soweit diese Sachverhalte nicht in einer nach Artikel 10a Absatz 1 Satz 1 der Richtlinie 2003/87/EG erlassenen Verordnung abschließend geregelt sind, sowie weiterhin Einzelheiten zu regeln für die Anpassung der Zuteilung zur Umsetzung des Durchführungsrechtsakts nach Artikel 10a Absatz 21 der Richtlinie 2003/87/EG; insbesondere:</w:t>
      </w:r>
    </w:p>
    <w:p>
      <w:pPr>
        <w:ind w:left="780"/>
      </w:pPr>
      <w:r>
        <w:t xml:space="preserve">a) die Erhebung von Daten über die Emissionen und die Produktion von Anlagen und sonstiger für das Zuteilungsverfahren relevanter Daten,</w:t>
      </w:r>
    </w:p>
    <w:p>
      <w:pPr>
        <w:ind w:left="780"/>
      </w:pPr>
      <w:r>
        <w:t xml:space="preserve">b) die Bestimmung der Produktionsmenge oder sonstiger Größen, die zur Berechnung der Zuteilungsmenge und ihrer dynamischen Anpassung während der Handelsperiode erforderlich sind,</w:t>
      </w:r>
    </w:p>
    <w:p>
      <w:pPr>
        <w:ind w:left="780"/>
      </w:pPr>
      <w:r>
        <w:t xml:space="preserve">c) die Zuteilung für Neuanlagen, einschließlich der Bestimmung der Auslastung dieser Anlagen,</w:t>
      </w:r>
    </w:p>
    <w:p>
      <w:pPr>
        <w:ind w:left="780"/>
      </w:pPr>
      <w:r>
        <w:t xml:space="preserve">d) die Bestimmung der jährlich auszugebenden Mengen von kostenlosen Berechtigungen in der Zuteilungsentscheidung sowie den Übergang der Zuteilung im Falle der Teilung oder Zusammenlegung von Anlagen,</w:t>
      </w:r>
    </w:p>
    <w:p>
      <w:pPr>
        <w:ind w:left="780"/>
      </w:pPr>
      <w:r>
        <w:t xml:space="preserve">e) die im Antrag nach § 9 Absatz 2 Satz 1</w:t>
      </w:r>
    </w:p>
    <w:p>
      <w:pPr>
        <w:ind w:left="1140"/>
      </w:pPr>
      <w:r>
        <w:t xml:space="preserve">aa) erforderlichen Angaben und</w:t>
      </w:r>
    </w:p>
    <w:p>
      <w:pPr>
        <w:ind w:left="1140"/>
      </w:pPr>
      <w:r>
        <w:t xml:space="preserve">bb) erforderlichen Unterlagen sowie die Art der beizubringenden Nachweise und</w:t>
      </w:r>
    </w:p>
    <w:p>
      <w:pPr>
        <w:ind w:left="780"/>
      </w:pPr>
      <w:r>
        <w:t xml:space="preserve">f) die Anforderungen an die Verifizierung von Zuteilungsanträgen und Datenmitteilungen im Zusammenhang mit der Zuteilung sowie Ausnahmen von der Verifizierungspflicht;</w:t>
      </w:r>
    </w:p>
    <w:p>
      <w:pPr>
        <w:ind w:left="420"/>
      </w:pPr>
      <w:r>
        <w:t xml:space="preserve">4. Einzelheiten zur Anwendung des § 24 für Anlagen, die von demselben Betreiber am gleichen Standort in einem technischen Verbund betrieben werden, zu regeln; dies umfasst insbesondere Regelungen, dass</w:t>
      </w:r>
    </w:p>
    <w:p>
      <w:pPr>
        <w:ind w:left="780"/>
      </w:pPr>
      <w:r>
        <w:t xml:space="preserve">a) der Antrag nach § 24 auch zulässig ist für einheitliche Anlagen aus Anlagen nach Anhang 1 Teil 2 Nummer 1 bis 6 und anderen Anlagen nach Anhang 1 Teil 2,</w:t>
      </w:r>
    </w:p>
    <w:p>
      <w:pPr>
        <w:ind w:left="780"/>
      </w:pPr>
      <w:r>
        <w:t xml:space="preserve">b) bei Anlagen nach Anhang 1 Teil 2 Nummer 8 bis 11 die Produktionsmengen der in den einbezogenen Anlagen hergestellten Produkte anzugeben sind,</w:t>
      </w:r>
    </w:p>
    <w:p>
      <w:pPr>
        <w:ind w:left="780"/>
      </w:pPr>
      <w:r>
        <w:t xml:space="preserve">c) Anlagen nach Anhang 1 Teil 2 Nummer 7 mit sonstigen in Anhang 1 Teil 2 aufgeführten Anlagen als einheitliche Anlage gelten;</w:t>
      </w:r>
    </w:p>
    <w:p>
      <w:pPr>
        <w:ind w:left="420"/>
      </w:pPr>
      <w:r>
        <w:t xml:space="preserve">5. Einzelheiten zur Erstellung und Änderung des Überwachungsplans nach § 6 zu regeln, soweit diese Sachverhalte nicht in der Monitoring-Verordnung abschließend geregelt sind; abweichend von § 6 Absatz 3 Satz 1 können dabei auch für bestimmte Fallgruppen von Änderungen der Überwachung verlängerte Fristen für die Vorlage des geänderten Überwachungsplans festgelegt werden.</w:t>
      </w:r>
    </w:p>
    <w:p>
      <w:r>
        <w:t xml:space="preserve">(2) Das Bundesministerium für Umwelt, Naturschutz und nukleare Sicherheit wird ermächtigt, durch Rechtsverordnung, die nicht der Zustimmung des Bundesrates bedarf, zu regeln:</w:t>
      </w:r>
    </w:p>
    <w:p>
      <w:pPr>
        <w:ind w:left="420"/>
      </w:pPr>
      <w:r>
        <w:t xml:space="preserve">1. Einzelheiten zur Ermittlung von und Berichterstattung über Emissionen nach § 5 Absatz 1, zur Verifizierung der Angaben in Emissionsberichten nach § 5 Absatz 2 und zur Verifizierung der Angaben zur Transportleistung in Anträgen nach § 11 Absatz 3 Satz 2, soweit diese Sachverhalte nicht den Vollzug des § 4 betreffen und nicht in der Monitoring-Verordnung oder in der Verordnung (EU) Nr. 600/2012 in ihrer jeweils geltenden Fassung abschließend geregelt sind;</w:t>
      </w:r>
    </w:p>
    <w:p>
      <w:pPr>
        <w:ind w:left="420"/>
      </w:pPr>
      <w:r>
        <w:t xml:space="preserve">2. im Einvernehmen mit dem Bundesministerium für Wirtschaft und Energie Einzelheiten zur Überführung von Emissionsberechtigungen, die von Drittländern ausgegeben werden, nach § 16 und</w:t>
      </w:r>
    </w:p>
    <w:p>
      <w:pPr>
        <w:ind w:left="420"/>
      </w:pPr>
      <w:r>
        <w:t xml:space="preserve">3. Einzelheiten zur Einrichtung und Führung eines Emissionshandelsregisters nach § 17, insbesondere die in der Verordnung nach Artikel 19 Absatz 3 der Richtlinie 2003/87/EG aufgeführten Sachverhalte zur ergänzenden Regelung durch die Mitgliedstaaten.</w:t>
      </w:r>
    </w:p>
    <w:p>
      <w:r>
        <w:t xml:space="preserve">(3) Das Bundesministerium für Umwelt, Naturschutz und nukleare Sicherheit wird ermächtigt, durch Rechtsverordnung, die nicht der Zustimmung des Bundesrates bedarf, eine juristische Person des Privatrechts mit der Wahrnehmung aller oder eines Teils der Aufgaben des Umweltbundesamtes nach diesem Gesetz und den hierfür erforderlichen hoheitlichen Befugnissen zu beleihen, wenn diese Gewähr dafür bietet, dass die übertragenen Aufgaben ordnungsgemäß und zentral für das Bundesgebiet erfüllt werden. Dies gilt nicht für Befugnisse nach § 20 Absatz 2 Nummer 1 und 2 und Abschnitt 6 dieses Gesetzes sowie für Maßnahmen nach dem Verwaltungs-Vollstreckungsgesetz. Eine juristische Person bietet Gewähr im Sinne des Satzes 1, wenn</w:t>
      </w:r>
    </w:p>
    <w:p>
      <w:pPr>
        <w:ind w:left="420"/>
      </w:pPr>
      <w:r>
        <w:t xml:space="preserve">1. diejenigen, die die Geschäftsführung oder die Vertretung der juristischen Person wahrnehmen, zuverlässig und fachlich geeignet sind,</w:t>
      </w:r>
    </w:p>
    <w:p>
      <w:pPr>
        <w:ind w:left="420"/>
      </w:pPr>
      <w:r>
        <w:t xml:space="preserve">2. die juristische Person über die zur Erfüllung ihrer Aufgaben notwendige Ausstattung und Organisation verfügt und ein ausreichendes Anfangskapital hat und</w:t>
      </w:r>
    </w:p>
    <w:p>
      <w:pPr>
        <w:ind w:left="420"/>
      </w:pPr>
      <w:r>
        <w:t xml:space="preserve">3. eine wirtschaftliche oder organisatorische Nähe zu Personen ausgeschlossen ist, die dem Anwendungsbereich dieses Gesetzes unterfallen.</w:t>
      </w:r>
    </w:p>
    <w:p>
      <w:r>
        <w:t xml:space="preserve">Die Beliehene untersteht der Aufsicht des Umweltbundesamtes.</w:t>
      </w:r>
    </w:p>
    <w:p>
      <w:r>
        <w:t xml:space="preserve">(4) Das Bundesministerium für Umwelt, Naturschutz und nukleare Sicherheit wird ermächtigt, durch Rechtsverordnung, die nicht der Zustimmung des Bundesrates bedarf,</w:t>
      </w:r>
    </w:p>
    <w:p>
      <w:pPr>
        <w:ind w:left="420"/>
      </w:pPr>
      <w:r>
        <w:t xml:space="preserve">1. eine juristische Person mit den Aufgaben und Befugnissen einer Zulassungsstelle für Prüfstellen zu beleihen;</w:t>
      </w:r>
    </w:p>
    <w:p>
      <w:pPr>
        <w:ind w:left="420"/>
      </w:pPr>
      <w:r>
        <w:t xml:space="preserve">2. Anforderungen an die Zulassungsstelle und den Informationsaustausch mit der zuständigen Behörde nach § 19 Absatz 1 Nummer 3 sowie mit den für den Emissionshandel zuständigen Behörden anderer Mitgliedstaaten zu regeln;</w:t>
      </w:r>
    </w:p>
    <w:p>
      <w:pPr>
        <w:ind w:left="420"/>
      </w:pPr>
      <w:r>
        <w:t xml:space="preserve">3. Einzelheiten zum Zertifizierungsverfahren, insbesondere zu Anforderungen an die zu zertifizierenden Prüfstellen nach § 21 und zu deren Aufgaben und Pflichten, sowie zur Aufsicht über die Prüfstellen zu regeln;</w:t>
      </w:r>
    </w:p>
    <w:p>
      <w:pPr>
        <w:ind w:left="420"/>
      </w:pPr>
      <w:r>
        <w:t xml:space="preserve">4. die Erhebung von Gebühren und Auslagen für Amtshandlungen der Zulassungsstelle zu regeln.</w:t>
      </w:r>
    </w:p>
    <w:p>
      <w:r>
        <w:t xml:space="preserve">Die Beleihung nach Satz 1 Nummer 1 ist nur zulässig, wenn die zu beleihende juristische Person die Gewähr für die ordnungsgemäße Erfüllung der Aufgaben der Zulassungsstelle im Einklang mit den Anforderungen der Verordnung (EU) Nr. 600/2012 in ihrer jeweils geltenden Fassung bietet; die Beliehene untersteht der Aufsicht des Bundesministeriums für Umwelt, Naturschutz und nukleare Sicherheit.</w:t>
      </w:r>
    </w:p>
    <w:p>
      <w:r>
        <w:rPr>
          <w:color w:val="555555"/>
          <w:sz w:val="17"/>
        </w:rPr>
        <w:t xml:space="preserve">Zitiervorschlag: § 28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