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TEHG 2011 — Ausschluss der aufschiebenden Wirkung</w:t>
      </w:r>
    </w:p>
    <w:p>
      <w:r>
        <w:rPr>
          <w:color w:val="555555"/>
          <w:sz w:val="18"/>
        </w:rPr>
        <w:t xml:space="preserve">Treibhausgas-Emissionshandelsgesetz</w:t>
      </w:r>
    </w:p>
    <w:p>
      <w:r>
        <w:rPr>
          <w:color w:val="555555"/>
          <w:sz w:val="18"/>
        </w:rPr>
        <w:t xml:space="preserve">Historische Fassung: Stand 10.06.2019 bis 13.04.2025. Dies ist nicht die aktuelle Fassung.</w:t>
      </w:r>
    </w:p>
    <w:p>
      <w:r>
        <w:t xml:space="preserve">Widerspruch und Anfechtungsklage gegen Zuteilungsentscheidungen oder Entscheidungen nach § 29 Satz 1 oder § 31 Absatz 2 Satz 1 haben keine aufschiebende Wirkung.</w:t>
      </w:r>
    </w:p>
    <w:p>
      <w:r>
        <w:rPr>
          <w:color w:val="555555"/>
          <w:sz w:val="17"/>
        </w:rPr>
        <w:t xml:space="preserve">Zitiervorschlag: § 26 TEHG 2011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https://recht.nulegal.eu/gesetze/TEHG%202011/26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