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TEHG 2011 — Prüfstellen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Zur Prüfung von Emissionsberichten nach § 5 Absatz 2 und zur Prüfung von Zuteilungsanträgen nach § 9 Absatz 2 Satz 4, § 11 Absatz 3 Satz 2 sind berechtigt:</w:t>
      </w:r>
    </w:p>
    <w:p>
      <w:pPr>
        <w:ind w:left="420"/>
      </w:pPr>
      <w:r>
        <w:t xml:space="preserve">1. akkreditierte Prüfstellen nach der Verordnung (EU) Nr. 600/2012 der Kommission vom 21. Juni 2012 über die Prüfung von Treibhausgasemissionsberichten und Tonnenkilometerberichten sowie die Akkreditierung von Prüfstellen gemäß der Richtlinie 2003/87/EG des Europäischen Parlaments und des Rates (ABl. L 181 vom 12.7.2012, S. 1) in der jeweils geltenden Fassung,</w:t>
      </w:r>
    </w:p>
    <w:p>
      <w:pPr>
        <w:ind w:left="420"/>
      </w:pPr>
      <w:r>
        <w:t xml:space="preserve">2. zertifizierte Prüfstellen, die durch die auf Grundlage des § 28 Absatz 4 Satz 1 Nummer 1 beliehene Zulassungsstelle oder durch die entsprechende nationale Behörde eines anderen Mitgliedstaates nach Artikel 54 Absatz 2 der Verordnung (EU) Nr. 600/2012 zertifiziert sind.</w:t>
      </w:r>
    </w:p>
    <w:p>
      <w:r>
        <w:t xml:space="preserve">(2) Die Prüfstelle hat die Emissionsberichte, die Zuteilungsanträge und die Datenmitteilungen nach den Vorgaben der Verordnung (EU) Nr. 600/2012 in der jeweils geltenden Fassung, einer nach Artikel 10a Absatz 1 Satz 1 der Richtlinie 2003/87/EG erlassenen Verordnung sowie den nach § 28 Absatz 1 Nummer 3 und Absatz 2 Nummer 1 erlassenen Rechtsverordnungen zu prüfen.</w:t>
      </w:r>
    </w:p>
    <w:p>
      <w:r>
        <w:t xml:space="preserve">(3) Die Prüfstelle nimmt die ihr nach Absatz 2 zugewiesenen Aufgaben nur im öffentlichen Interesse wahr.</w:t>
      </w:r>
    </w:p>
    <w:p>
      <w:r>
        <w:rPr>
          <w:color w:val="555555"/>
          <w:sz w:val="17"/>
        </w:rPr>
        <w:t xml:space="preserve">Zitiervorschlag: § 21 TEHG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https://recht.nulegal.eu/gesetze/TEHG%202011/21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