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TEHG 2011 — Überwachung, Datenübermittlung</w:t>
      </w:r>
    </w:p>
    <w:p>
      <w:r>
        <w:rPr>
          <w:color w:val="555555"/>
          <w:sz w:val="18"/>
        </w:rPr>
        <w:t xml:space="preserve">Treibhausgas-Emissionshandelsgesetz</w:t>
      </w:r>
    </w:p>
    <w:p>
      <w:r>
        <w:rPr>
          <w:color w:val="555555"/>
          <w:sz w:val="18"/>
        </w:rPr>
        <w:t xml:space="preserve">Historische Fassung: Stand 10.06.2019 bis 13.04.2025. Dies ist nicht die aktuelle Fassung.</w:t>
      </w:r>
    </w:p>
    <w:p>
      <w:r>
        <w:t xml:space="preserve">(1) Die nach § 19 jeweils zuständige Behörde hat die Durchführung dieses Gesetzes und der auf dieses Gesetz gestützten Rechtsverordnungen zu überwachen.</w:t>
      </w:r>
    </w:p>
    <w:p>
      <w:r>
        <w:t xml:space="preserve">(2) Betreiber sowie Eigentümer und Besitzer von Luftfahrzeugen oder von Grundstücken, auf denen sich Luftfahrzeuge befinden oder auf denen Anlagen betrieben werden, sind verpflichtet, den Angehörigen der zuständigen Behörde und deren Beauftragten unverzüglich</w:t>
      </w:r>
    </w:p>
    <w:p>
      <w:pPr>
        <w:ind w:left="420"/>
      </w:pPr>
      <w:r>
        <w:t xml:space="preserve">1. den Zutritt zu den Anlagen, Luftfahrzeugen oder Grundstücken zu den Geschäftszeiten zu gestatten,</w:t>
      </w:r>
    </w:p>
    <w:p>
      <w:pPr>
        <w:ind w:left="420"/>
      </w:pPr>
      <w:r>
        <w:t xml:space="preserve">2. die Vornahme von Prüfungen einschließlich der Ermittlung von Emissionen zu den Geschäftszeiten zu gestatten sowie</w:t>
      </w:r>
    </w:p>
    <w:p>
      <w:pPr>
        <w:ind w:left="420"/>
      </w:pPr>
      <w:r>
        <w:t xml:space="preserve">3. auf Anforderung die Auskünfte zu erteilen und die Unterlagen vorzulegen, die zur Erfüllung ihrer Aufgaben erforderlich sind.</w:t>
      </w:r>
    </w:p>
    <w:p>
      <w:r>
        <w:t xml:space="preserve">Im Rahmen der Pflichten nach Satz 1 haben die Betreiber Arbeitskräfte sowie Hilfsmittel bereitzustellen.</w:t>
      </w:r>
    </w:p>
    <w:p>
      <w:r>
        <w:t xml:space="preserve">(3) Für die zur Auskunft verpflichtete Person gilt § 55 der Strafprozessordnung entsprechend.</w:t>
      </w:r>
    </w:p>
    <w:p>
      <w:r>
        <w:t xml:space="preserve">(4) Auf Ersuchen einer nach § 19 Absatz 1 Nummer 1 zuständigen Behörde kann das Umweltbundesamt nach § 5 übermittelte Daten von Anlagen aus dem betroffenen Land an die ersuchende Behörde übermitteln, soweit diese Daten zur Erfüllung der Aufgaben der ersuchenden Behörde erforderlich sind. Die ersuchende Behörde hat darzulegen, für welche Zwecke und in welchem Umfang sie die Daten benötigt. Enthalten die Daten Betriebs- und Geschäftsgeheimnisse, weist das Umweltbundesamt die ersuchende Behörde ausdrücklich darauf hin. Die ersuchende Behörde ist für den Schutz der Vertraulichkeit der übermittelten Daten verantwortlich.</w:t>
      </w:r>
    </w:p>
    <w:p>
      <w:r>
        <w:rPr>
          <w:color w:val="555555"/>
          <w:sz w:val="17"/>
        </w:rPr>
        <w:t xml:space="preserve">Zitiervorschlag: § 20 TEHG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https://recht.nulegal.eu/gesetze/TEHG%202011/20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