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TEHG 2011 — Zuständigkeiten</w:t>
      </w:r>
    </w:p>
    <w:p>
      <w:r>
        <w:rPr>
          <w:color w:val="555555"/>
          <w:sz w:val="18"/>
        </w:rPr>
        <w:t xml:space="preserve">Treibhausgas-Emissionshandelsgesetz</w:t>
      </w:r>
    </w:p>
    <w:p>
      <w:r>
        <w:rPr>
          <w:color w:val="555555"/>
          <w:sz w:val="18"/>
        </w:rPr>
        <w:t xml:space="preserve">Historische Fassung: Stand 05.07.2020 bis 13.04.2025. Dies ist nicht die aktuelle Fassung.</w:t>
      </w:r>
    </w:p>
    <w:p>
      <w:r>
        <w:t xml:space="preserve">(1) Zuständige Behörde ist</w:t>
      </w:r>
    </w:p>
    <w:p>
      <w:pPr>
        <w:ind w:left="420"/>
      </w:pPr>
      <w:r>
        <w:t xml:space="preserve">1. für den Vollzug des § 4 bei genehmigungsbedürftigen Anlagen nach § 4 Absatz 1 Satz 3 des Bundes-Immissionsschutzgesetzes die nach Landesrecht für den Vollzug des § 4 zuständige Behörde,</w:t>
      </w:r>
    </w:p>
    <w:p>
      <w:pPr>
        <w:ind w:left="420"/>
      </w:pPr>
      <w:r>
        <w:t xml:space="preserve">1a. für den Vollzug des § 2 Absatz 8 im Rahmen der Hafenstaatkontrolle die Berufsgenossenschaft Verkehrswirtschaft Post-Logistik Telekommunikation; hiervon ausgenommen sind die Aufgaben der Bußgeldbehörde,</w:t>
      </w:r>
    </w:p>
    <w:p>
      <w:pPr>
        <w:ind w:left="420"/>
      </w:pPr>
      <w:r>
        <w:t xml:space="preserve">2. für den Vollzug des § 31 Absatz 2 im Fall eines gewerblichen Luftfahrzeugbetreibers das Luftfahrt-Bundesamt,</w:t>
      </w:r>
    </w:p>
    <w:p>
      <w:pPr>
        <w:ind w:left="420"/>
      </w:pPr>
      <w:r>
        <w:t xml:space="preserve">3. im Übrigen das Umweltbundesamt.</w:t>
      </w:r>
    </w:p>
    <w:p>
      <w:r>
        <w:t xml:space="preserve">(2) Ist für Streitigkeiten nach diesem Gesetz der Verwaltungsrechtsweg gegeben, ist für Klagen, die sich gegen eine Handlung oder Unterlassung des Umweltbundesamtes richten, das Verwaltungsgericht am Sitz der Deutschen Emissionshandelsstelle im Umweltbundesamt örtlich zuständig.</w:t>
      </w:r>
    </w:p>
    <w:p>
      <w:r>
        <w:t xml:space="preserve">(3) Soweit die nach Absatz 1 Nummer 3 zuständige Behörde Aufgaben nach § 2 Absatz 7 wahrnimmt, unterliegt sie der gemeinsamen Fachaufsicht durch das Bundesministerium für Wirtschaft und Energie und das Bundesministerium für Umwelt, Naturschutz und nukleare Sicherheit.</w:t>
      </w:r>
    </w:p>
    <w:p>
      <w:r>
        <w:t xml:space="preserve">(4) Die Berufsgenossenschaft Verkehrswirtschaft Post-Logistik Telekommunikation überprüft im Rahmen der Hafenstaatkontrolle nach § 6 Absatz 1 des Seeaufgabengesetzes in der Fassung der Bekanntmachung vom 17. Juni 2016 (BGBl. I S. 1489), das zuletzt durch Artikel 21 des Gesetzes vom 13. Oktober 2016 (BGBl. I S. 2258) geändert worden ist, in Verbindung mit § 12 der Schiffssicherheitsverordnung vom 18. September 1998 (BGBl. I S. 3013, 3023), die zuletzt durch Artikel 177 des Gesetzes vom 29. März 2017 (BGBl. I S. 626) geändert worden ist, auch, ob eine gültige Konformitätsbescheinigung nach Artikel 18 der MRV-Seeverkehrsverordnung an Bord mitgeführt wird. Zu diesem Zweck kann sie in den Betriebsräumen des Schiffes zu den üblichen Betriebs- und Geschäftszeiten Kontrollen durchführen. Stellt die Berufsgenossenschaft Verkehrswirtschaft Post-Logistik Telekommunikation fest, dass eine gültige Konformitätsbescheinigung nach Satz 1 fehlt, meldet sie dies an die nach Nummer 3 zuständige Behörde zur Prüfung, ob ein Verstoß gegen § 32 Absatz 3a vorliegt. § 9e des Seeaufgabengesetzes ist in diesem Fall entsprechend anzuwenden.</w:t>
      </w:r>
    </w:p>
    <w:p>
      <w:r>
        <w:rPr>
          <w:color w:val="555555"/>
          <w:sz w:val="17"/>
        </w:rPr>
        <w:t xml:space="preserve">Zitiervorschlag: § 19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