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TEHG 2011 — Anerkennung von Emissionsberechtigungen</w:t>
      </w:r>
    </w:p>
    <w:p>
      <w:r>
        <w:rPr>
          <w:color w:val="555555"/>
          <w:sz w:val="18"/>
        </w:rPr>
        <w:t xml:space="preserve">Treibhausgas-Emissionshandelsgesetz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Emissionsberechtigungen, die von Drittländern ausgegeben werden, mit denen Abkommen über die gegenseitige Anerkennung von Berechtigungen gemäß Artikel 25 Absatz 1 der Richtlinie 2003/87/EG geschlossen wurden, stehen nach Maßgabe der Vorgaben einer nach Artikel 19 Absatz 3 und 4 der Richtlinie 2003/87/EG erlassenen Verordnung der Kommission Berechtigungen gleich.</w:t>
      </w:r>
    </w:p>
    <w:p>
      <w:r>
        <w:rPr>
          <w:color w:val="555555"/>
          <w:sz w:val="17"/>
        </w:rPr>
        <w:t xml:space="preserve">Zitiervorschlag: § 16 TEHG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https://recht.nulegal.eu/gesetze/TEHG%202011/16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