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TEHG 2011 — Zuteilung von kostenlosen Berechtigungen an Luftfahrzeugbetreiber</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Für Luftfahrzeugbetreiber, die nach § 11 oder § 12 in der bis zum 24. Januar 2019 geltenden Fassung eine Zuteilung von kostenlosen Berechtigungen für die Handelsperiode 2013 bis 2020 erhalten haben, gilt die Zuteilung in Höhe der für das Jahr 2020 zugeteilten Anzahl an Berechtigungen für die Jahre 2021 bis 2023 nach Artikel 28a Absatz 2 der Richtlinie 2003/87/EG fort. Auf die Zuteilung ist der für die Jahre ab 2021 geltende lineare Reduktionsfaktor nach Artikel 9 der Richtlinie 2003/87/EG anzuwenden.</w:t>
      </w:r>
    </w:p>
    <w:p>
      <w:r>
        <w:t xml:space="preserve">(2) Die Zuteilung für die nachfolgende Zuteilungsperiode setzt einen Antrag bei der zuständigen Behörde voraus, der spätestens zwölf Monate vor Beginn der Zuteilungsperiode gestellt werden muss. Bei einem verspäteten Antrag besteht kein Anspruch mehr auf Zuteilung kostenloser Luftverkehrsberechtigungen.</w:t>
      </w:r>
    </w:p>
    <w:p>
      <w:r>
        <w:t xml:space="preserve">(3) In dem Antrag muss der Antragsteller die nach Artikel 56 der Monitoring-Verordnung ermittelte Transportleistung angeben, die er im Basisjahr durch seine Luftverkehrstätigkeit erbracht hat. Die Angaben zur Transportleistung müssen von einer Prüfstelle nach § 21 verifiziert worden sein.</w:t>
      </w:r>
    </w:p>
    <w:p>
      <w:r>
        <w:t xml:space="preserve">(4) Die zuständige Behörde überprüft die Angaben des Antragstellers zur Transportleistung und übermittelt nur solche Angaben an die Europäische Kommission, deren Richtigkeit ausreichend gesichert ist. Der Luftfahrzeugbetreiber ist verpflichtet, auf Verlangen der zuständigen Behörde zur Prüfung des Antrags zusätzliche Angaben oder Nachweise zu übermitteln.</w:t>
      </w:r>
    </w:p>
    <w:p>
      <w:r>
        <w:t xml:space="preserve">(5) Die zuständige Behörde veröffentlicht im Bundesanzeiger eine Liste mit den Namen der Luftfahrzeugbetreiber und der Höhe der zugeteilten Berechtigungen.</w:t>
      </w:r>
    </w:p>
    <w:p>
      <w:r>
        <w:t xml:space="preserve">(6) Die Zuteilungsentscheidung ist aufzuheben, soweit sie auf Grund eines Rechtsakts der Europäischen Union, insbesondere auch in Folge der Überprüfung nach Artikel 28b der Richtlinie 2003/87/EG, nachträglich geändert werden muss oder wenn ein Luftfahrzeugbetreiber keine Luftverkehrstätigkeit mehr ausübt. Die §§ 48 und 49 des Verwaltungsverfahrensgesetzes bleiben im Übrigen unberührt.</w:t>
      </w:r>
    </w:p>
    <w:p>
      <w:r>
        <w:rPr>
          <w:color w:val="555555"/>
          <w:sz w:val="17"/>
        </w:rPr>
        <w:t xml:space="preserve">Zitiervorschlag: § 11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TEHG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