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TEHG 2011 — Zweck des Gesetzes</w:t>
      </w:r>
    </w:p>
    <w:p>
      <w:r>
        <w:rPr>
          <w:color w:val="555555"/>
          <w:sz w:val="18"/>
        </w:rPr>
        <w:t xml:space="preserve">Treibhausgas-Emissionshandelsgesetz</w:t>
      </w:r>
    </w:p>
    <w:p>
      <w:r>
        <w:rPr>
          <w:color w:val="555555"/>
          <w:sz w:val="18"/>
        </w:rPr>
        <w:t xml:space="preserve">Historische Fassung: Stand 10.06.2019 bis 13.04.2025. Dies ist nicht die aktuelle Fassung.</w:t>
      </w:r>
    </w:p>
    <w:p>
      <w:r>
        <w:t xml:space="preserve">Zweck dieses Gesetzes ist es, für die in Anhang 1 Teil 2 genannten Tätigkeiten, durch die in besonderem Maße Treibhausgase emittiert werden, die Grundlagen für den Handel mit Berechtigungen zur Emission von Treibhausgasen in einem gemeinschaftsweiten Emissionshandelssystem zu schaffen, um damit durch eine kosteneffiziente Verringerung von Treibhausgasen zum weltweiten Klimaschutz beizutragen. Das Gesetz dient auch der Umsetzung der europäischen und internationalen Vorgaben zur Einbeziehung des Luftverkehrs in Maßnahmen zur Erfassung, Reduktion und Kompensation von Treibhausgasen und zur Umsetzung der europäischen Vorgaben zur Erfassung von Treibhausgasen im Seeverkehr.</w:t>
      </w:r>
    </w:p>
    <w:p>
      <w:r>
        <w:rPr>
          <w:color w:val="555555"/>
          <w:sz w:val="17"/>
        </w:rPr>
        <w:t xml:space="preserve">Zitiervorschlag: § 1 TEHG 2011</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https://recht.nulegal.eu/gesetze/TEHG%202011/1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