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TBelV</w:t>
      </w:r>
    </w:p>
    <w:p>
      <w:r>
        <w:rPr>
          <w:color w:val="555555"/>
          <w:sz w:val="18"/>
        </w:rPr>
        <w:t xml:space="preserve">Transparenzregisterbeleihungsverordnung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Grund des § 25 Absatz 1 in Verbindung mit Absatz 3 in Verbindung mit Absatz 5 Satz 3 des Geldwäschegesetzes vom 23. Juni 2017 (BGBl. I S. 1822) verordnet das Bundesministerium der Finanzen:</w:t>
      </w:r>
    </w:p>
    <w:p>
      <w:r>
        <w:rPr>
          <w:color w:val="555555"/>
          <w:sz w:val="17"/>
        </w:rPr>
        <w:t xml:space="preserve">Zitiervorschlag: Eingangsformel TBelV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https://recht.nulegal.eu/gesetze/TBelV/eingangsformel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