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TBelV — Abwicklung bei Beendigung der Beleihung</w:t>
      </w:r>
    </w:p>
    <w:p>
      <w:r>
        <w:rPr>
          <w:color w:val="555555"/>
          <w:sz w:val="18"/>
        </w:rPr>
        <w:t xml:space="preserve">Transparenzregisterbeleihungsverordnung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An dem Tag, an dem die Beleihung endet, hat der Beliehene dem Bundesministerium der Finanzen oder einer von diesem bestimmten Stelle</w:t>
      </w:r>
    </w:p>
    <w:p>
      <w:pPr>
        <w:ind w:left="420"/>
      </w:pPr>
      <w:r>
        <w:t xml:space="preserve">1. alle für den ordnungsgemäßen Weiterbetrieb des Transparenzregisters erforderlichen Softwareprogramme und Daten unverzüglich zur Verfügung zu stellen und</w:t>
      </w:r>
    </w:p>
    <w:p>
      <w:pPr>
        <w:ind w:left="420"/>
      </w:pPr>
      <w:r>
        <w:t xml:space="preserve">2. die Rechte an diesen Softwareprogrammen und an der für das Transparenzregister genutzten Internetadresse zu übertragen.</w:t>
      </w:r>
    </w:p>
    <w:p>
      <w:r>
        <w:t xml:space="preserve">(2) Die Kosten für die Abwicklung nach Absatz 1 werden nicht vom Bundesministerium der Finanzen erstattet. Das Bundesministerium der Finanzen erstattet solche Kosten nur, wenn es sich um Lizenz- und Übertragungsgebühren handelt, die Dritten, nicht mit dem Beliehenen gesellschaftsrechtlich verbundenen Unternehmen zustehen.</w:t>
      </w:r>
    </w:p>
    <w:p>
      <w:r>
        <w:rPr>
          <w:color w:val="555555"/>
          <w:sz w:val="17"/>
        </w:rPr>
        <w:t xml:space="preserve">Zitiervorschlag: § 4 TBelV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https://recht.nulegal.eu/gesetze/TBelV/4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