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TBelV — Vorzeitige Beendigung der Beleihung</w:t>
      </w:r>
    </w:p>
    <w:p>
      <w:r>
        <w:rPr>
          <w:color w:val="555555"/>
          <w:sz w:val="18"/>
        </w:rPr>
        <w:t xml:space="preserve">Transparenzregisterbeleihungsverordnung</w:t>
      </w:r>
    </w:p>
    <w:p>
      <w:r>
        <w:rPr>
          <w:color w:val="555555"/>
          <w:sz w:val="18"/>
        </w:rPr>
        <w:t xml:space="preserve">Stand: 01.01.2025 (konsolidierte Textfassung, kein amtliches Inkrafttretensdatum)</w:t>
      </w:r>
    </w:p>
    <w:p>
      <w:r>
        <w:t xml:space="preserve">(1) Das Bundesministerium der Finanzen kann die Beleihung vorzeitig beendigen, wenn</w:t>
      </w:r>
    </w:p>
    <w:p>
      <w:pPr>
        <w:ind w:left="420"/>
      </w:pPr>
      <w:r>
        <w:t xml:space="preserve">1. die Voraussetzungen nach § 25 Absatz 2 des Geldwäschegesetzes nicht vorgelegen haben oder nachträglich entfallen sind oder</w:t>
      </w:r>
    </w:p>
    <w:p>
      <w:pPr>
        <w:ind w:left="420"/>
      </w:pPr>
      <w:r>
        <w:t xml:space="preserve">2. ein wichtiger Grund vorliegt.</w:t>
      </w:r>
    </w:p>
    <w:p>
      <w:r>
        <w:t xml:space="preserve">(2) Ein wichtiger Grund im Sinne des Absatzes 1 Nummer 2 liegt insbesondere vor, wenn</w:t>
      </w:r>
    </w:p>
    <w:p>
      <w:pPr>
        <w:ind w:left="420"/>
      </w:pPr>
      <w:r>
        <w:t xml:space="preserve">1. das Verhalten des Beliehenen geeignet ist, das Ansehen der Bundesrepublik Deutschland oder eines der Länder zu schädigen,</w:t>
      </w:r>
    </w:p>
    <w:p>
      <w:pPr>
        <w:ind w:left="420"/>
      </w:pPr>
      <w:r>
        <w:t xml:space="preserve">2. die personelle oder sachliche Ausstattung oder die Betriebsabläufe des Beliehenen nicht mehr die Gewähr für einen ordnungsgemäßen Betrieb des Transparenzregisters oder die Erfüllung der sonstigen Aufgaben der registerführenden Stelle nach Abschnitt 4 des Geldwäschegesetzes bieten,</w:t>
      </w:r>
    </w:p>
    <w:p>
      <w:pPr>
        <w:ind w:left="420"/>
      </w:pPr>
      <w:r>
        <w:t xml:space="preserve">3. der Beliehene nicht nur vorübergehend nicht die Gewähr dafür bietet, dass er die erforderlichen Anpassungen am Transparenzregister durchführt,</w:t>
      </w:r>
    </w:p>
    <w:p>
      <w:pPr>
        <w:ind w:left="420"/>
      </w:pPr>
      <w:r>
        <w:t xml:space="preserve">4. der Beliehene wiederholt oder grob gegen Bestimmungen zur Führung des Transparenzregisters verstoßen hat,</w:t>
      </w:r>
    </w:p>
    <w:p>
      <w:pPr>
        <w:ind w:left="420"/>
      </w:pPr>
      <w:r>
        <w:t xml:space="preserve">5. die Überschuldung des Beliehenen droht oder</w:t>
      </w:r>
    </w:p>
    <w:p>
      <w:pPr>
        <w:ind w:left="420"/>
      </w:pPr>
      <w:r>
        <w:t xml:space="preserve">6. das Insolvenzverfahren über das Vermögen des Beliehenen eröffnet worden ist.</w:t>
      </w:r>
    </w:p>
    <w:p>
      <w:r>
        <w:t xml:space="preserve">(3) Der Beliehene kann die vorzeitige Beendigung verlangen, wenn ein wichtiger Grund vorliegt. Das Verlangen ist schriftlich an das Bundesministerium der Finanzen zu richten. Das Bundesministerium der Finanzen entspricht dem Verlangen innerhalb einer angemessenen Frist. Angemessen ist die Frist, die erforderlich ist zur Sicherstellung der Fortführung der Aufgabenerfüllung der registerführenden Stelle durch</w:t>
      </w:r>
    </w:p>
    <w:p>
      <w:pPr>
        <w:ind w:left="420"/>
      </w:pPr>
      <w:r>
        <w:t xml:space="preserve">1. eine andere juristische Person des Privatrechts, die auf Grund des § 25 Absatz 1 des Geldwäschegesetzes beliehen wird, oder</w:t>
      </w:r>
    </w:p>
    <w:p>
      <w:pPr>
        <w:ind w:left="420"/>
      </w:pPr>
      <w:r>
        <w:t xml:space="preserve">2. eine auf Grund des § 25 Absatz 7 des Geldwäschegesetzes bestimmte Bundesoberbehörde.</w:t>
      </w:r>
    </w:p>
    <w:p>
      <w:r>
        <w:t xml:space="preserve">(4) Die vorzeitige Beendigung der Beleihung erfolgt mit einer Verordnung des Bundesministeriums der Finanzen. Die Beendigung wird mit dem Inkrafttreten der Verordnung wirksam.</w:t>
      </w:r>
    </w:p>
    <w:p>
      <w:r>
        <w:rPr>
          <w:color w:val="555555"/>
          <w:sz w:val="17"/>
        </w:rPr>
        <w:t xml:space="preserve">Zitiervorschlag: § 3 TBelV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https://recht.nulegal.eu/gesetze/TBelV/3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