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TArztHAusbZustV</w:t>
      </w:r>
    </w:p>
    <w:p>
      <w:r>
        <w:rPr>
          <w:color w:val="555555"/>
          <w:sz w:val="18"/>
        </w:rPr>
        <w:t xml:space="preserve">Verordnung über die Bestimmung der zuständigen Stelle sowie über die fachliche Eignung für die Berufsausbildung zum Tierarzthelfer/zur Tierarzthelferin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97 des Berufsbildungsgesetzes vom 14. August 1969 (BGBl. I S. 1112), der durch Artikel 53 Nr. 13 des Gesetzes vom 18. März 1975 (BGBl. I S. 705) geändert worden ist, wird nach Anhörung des Hauptausschusses des Bundesinstituts für Berufsbildung gemäß § 19 Nr. 1 des Berufsbildungsförderungsgesetzes im Einvernehmen mit dem Bundesminister für Bildung und Wissenschaft mit Zustimmung des Bundesrates verordnet:</w:t>
      </w:r>
    </w:p>
    <w:p>
      <w:r>
        <w:rPr>
          <w:color w:val="555555"/>
          <w:sz w:val="17"/>
        </w:rPr>
        <w:t xml:space="preserve">Zitiervorschlag: Eingangsformel TArztHAusbZustV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https://recht.nulegal.eu/gesetze/TArztHAusbZustV/eingangsformel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