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TAppV — Ausnahmen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Universität, an der der oder die Studierende eingeschrieben ist, kann auf Antrag Ausnahmen zulassen von</w:t>
      </w:r>
    </w:p>
    <w:p>
      <w:pPr>
        <w:ind w:left="420"/>
      </w:pPr>
      <w:r>
        <w:t xml:space="preserve">1. § 6,</w:t>
      </w:r>
    </w:p>
    <w:p>
      <w:pPr>
        <w:ind w:left="420"/>
      </w:pPr>
      <w:r>
        <w:t xml:space="preserve">2. § 20 Abs. 2 Satz 1 im Hinblick auf den vorgeschriebenen Zeitraum zur Ablegung der Prüfung,</w:t>
      </w:r>
    </w:p>
    <w:p>
      <w:pPr>
        <w:ind w:left="420"/>
      </w:pPr>
      <w:r>
        <w:t xml:space="preserve">3. § 23 Abs. 1 Nr. 1, dass der Bewerber oder die Bewerberin für die Zulassung zur Prüfung das Vorphysikum vor nicht mehr als eineinhalb Studienjahren bestanden haben muss,</w:t>
      </w:r>
    </w:p>
    <w:p>
      <w:pPr>
        <w:ind w:left="420"/>
      </w:pPr>
      <w:r>
        <w:t xml:space="preserve">4. § 31 Abs. 2 Nr. 2, dass der Bewerber oder die Bewerberin für die Zulassung zur Prüfung nach dem Bestehen der Tierärztlichen Vorprüfung mindestens drei Studienjahre Veterinärmedizin studiert haben muss,</w:t>
      </w:r>
    </w:p>
    <w:p>
      <w:pPr>
        <w:ind w:left="420"/>
      </w:pPr>
      <w:r>
        <w:t xml:space="preserve">5. § 58 Abs. 1 Nr. 1 im Hinblick auf die Dauer der selbständigen Praxisausübung,</w:t>
      </w:r>
    </w:p>
    <w:p>
      <w:r>
        <w:t xml:space="preserve">soweit dies zur Vermeidung einer unbeabsichtigten Härte erforderlich ist und das Ziel der Ausbildung nicht beeinträchtigt wird. Nach Satz 1 Nr. 2 bis 5 erteilte Ausnahmen gelten nach Maßgabe ihres Inhalts als Nachweis auch für die Zulassung zu den nachfolgenden Prüfungen.</w:t>
      </w:r>
    </w:p>
    <w:p>
      <w:r>
        <w:rPr>
          <w:color w:val="555555"/>
          <w:sz w:val="17"/>
        </w:rPr>
        <w:t xml:space="preserve">Zitiervorschlag: § 67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