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TAppV — Modellstudiengang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Zur Erprobung neuer Modelle der tierärztlichen Ausbildung kann die zuständige Behörde auf Antrag einer Universität einen von dem Regelstudiengang abweichenden Modellstudiengang einführen und die jeweiligen Inhalte festlegen. Dabei müssen die in § 1 Absatz 1 und 3 genannten Ausbildungsziele gewahrt bleiben.</w:t>
      </w:r>
    </w:p>
    <w:p>
      <w:r>
        <w:t xml:space="preserve">(2) Die Zulassung als Modellstudiengang setzt voraus, dass</w:t>
      </w:r>
    </w:p>
    <w:p>
      <w:pPr>
        <w:ind w:left="420"/>
      </w:pPr>
      <w:r>
        <w:t xml:space="preserve">1. das Erprobungsziel beschrieben wird und erkennen lässt, welche qualitativen Verbesserungen für die tiermedizinische Ausbildung vom Modellstudiengang erwartet werden,</w:t>
      </w:r>
    </w:p>
    <w:p>
      <w:pPr>
        <w:ind w:left="420"/>
      </w:pPr>
      <w:r>
        <w:t xml:space="preserve">2. eine von der Universität zu erlassende besondere Studienordnung besteht,</w:t>
      </w:r>
    </w:p>
    <w:p>
      <w:pPr>
        <w:ind w:left="420"/>
      </w:pPr>
      <w:r>
        <w:t xml:space="preserve">3. sichergestellt ist, dass die in der Tierärztlichen Vorprüfung und der Tierärztlichen Prüfung nachzuweisenden Kenntnisse, Fertigkeiten und Fähigkeiten im Modellstudiengang in einer dem Regelstudiengang gleichwertigen Weise geprüft werden,</w:t>
      </w:r>
    </w:p>
    <w:p>
      <w:pPr>
        <w:ind w:left="420"/>
      </w:pPr>
      <w:r>
        <w:t xml:space="preserve">4. eine sachgerechte begleitende und abschließende Beurteilung des Modellstudiengangs durch die Universität unter Heranziehung externen Sachverstandes gewährleistet ist,</w:t>
      </w:r>
    </w:p>
    <w:p>
      <w:pPr>
        <w:ind w:left="420"/>
      </w:pPr>
      <w:r>
        <w:t xml:space="preserve">5. Mindest- und Höchstdauer des Modellstudiengangs festgelegt sind und Verlängerungsanträge anhand von Beurteilungsergebnissen zu begründen sind,</w:t>
      </w:r>
    </w:p>
    <w:p>
      <w:pPr>
        <w:ind w:left="420"/>
      </w:pPr>
      <w:r>
        <w:t xml:space="preserve">6. die Voraussetzungen, unter denen die Universität den Modellstudiengang abbrechen kann, benannt sind,</w:t>
      </w:r>
    </w:p>
    <w:p>
      <w:pPr>
        <w:ind w:left="420"/>
      </w:pPr>
      <w:r>
        <w:t xml:space="preserve">7. geregelt ist, wie beim Übergang vom Modellstudiengang in den Regelstudiengang hinsichtlich des Weiterstudiums, der Anrechnung von Studienzeiten und Prüfungen und anderen Studienleistungen verfahren wird, und</w:t>
      </w:r>
    </w:p>
    <w:p>
      <w:pPr>
        <w:ind w:left="420"/>
      </w:pPr>
      <w:r>
        <w:t xml:space="preserve">8. festgelegt ist, wie die Anforderungen des Regelstudiums an die Tierärztliche Vorprüfung und die Tierärztliche Prüfung im Modellstudiengang erfüllt werden.</w:t>
      </w:r>
    </w:p>
    <w:p>
      <w:r>
        <w:rPr>
          <w:color w:val="555555"/>
          <w:sz w:val="17"/>
        </w:rPr>
        <w:t xml:space="preserve">Zitiervorschlag: § 4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