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TAppV — Nachweise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Zulassung zu Prüfungen sind folgende Nachweise erforderlich:</w:t>
      </w:r>
    </w:p>
    <w:p>
      <w:pPr>
        <w:ind w:left="420"/>
      </w:pPr>
      <w:r>
        <w:t xml:space="preserve">1. Zeugnis über die Tierärztliche Vorprüfung;</w:t>
      </w:r>
    </w:p>
    <w:p>
      <w:pPr>
        <w:ind w:left="420"/>
      </w:pPr>
      <w:r>
        <w:t xml:space="preserve">2. Bescheinigungen über die regelmäßige und erfolgreiche Teilnahme an den von der Universität für das jeweilige Prüfungsfach der Tierärztlichen Prüfung festgelegten Seminaren oder Übungen;</w:t>
      </w:r>
    </w:p>
    <w:p>
      <w:pPr>
        <w:ind w:left="420"/>
      </w:pPr>
      <w:r>
        <w:t xml:space="preserve">3. Bescheinigung über die Teilnahme an einem für das jeweilige Prüfungsfach erforderlichen praktischen Studienteil nach den §§ 54 bis 62 oder eine andere vergleichbare, von der Universität anerkannte Ersatzausbildung.</w:t>
      </w:r>
    </w:p>
    <w:p>
      <w:r>
        <w:t xml:space="preserve">(2) Vor Abschluss der Prüfungen nach § 30 sind außerdem folgende Nachweise erforderlich:</w:t>
      </w:r>
    </w:p>
    <w:p>
      <w:pPr>
        <w:ind w:left="420"/>
      </w:pPr>
      <w:r>
        <w:t xml:space="preserve">1. Bescheinigung über die regelmäßige und erfolgreiche Teilnahme an den Lehrveranstaltungen der Biometrie, Futtermittelkunde, Immunologie,</w:t>
      </w:r>
    </w:p>
    <w:p>
      <w:pPr>
        <w:ind w:left="420"/>
      </w:pPr>
      <w:r>
        <w:t xml:space="preserve">2. Bescheinigung über ein Studium der Tiermedizin von mindestens insgesamt fünfeinhalb Studienjahren, davon mindesten drei Studienjahren nach dem Bestehen der Tierärztlichen Vorprüfung und</w:t>
      </w:r>
    </w:p>
    <w:p>
      <w:pPr>
        <w:ind w:left="420"/>
      </w:pPr>
      <w:r>
        <w:t xml:space="preserve">3. Bescheinigung über die regelmäßige und erfolgreiche Teilnahme an mindestens 224 Stunden Wahlpflichtveranstaltungen, wobei Stunden aus Wahlpflichtveranstaltungen nach § 23 Abs. 1 Nr. 4 nicht berücksichtigt werden.</w:t>
      </w:r>
    </w:p>
    <w:p>
      <w:r>
        <w:rPr>
          <w:color w:val="555555"/>
          <w:sz w:val="17"/>
        </w:rPr>
        <w:t xml:space="preserve">Zitiervorschlag: § 31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