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TAppV — Erprobungsklausel</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(1) Bei Beibehaltung der Gesamtstundenzahl des wissenschaftlich-theoretischen Studienteils von 3.850 Stunden können die Universitäten vorbehaltlich des Absatzes 2 Abweichungen der Stundenzahl zu den in Anlage 1 aufgeführten Fächern um bis zu 20 vom Hundert von der Gesamtstundenzahl vorsehen.</w:t>
      </w:r>
    </w:p>
    <w:p>
      <w:r>
        <w:t xml:space="preserve">(2) Von der Möglichkeit der Stundenkürzungen sind Fächer mit einer Stundenzahl von 28 und weniger sowie die in Anlage 1 Nr. 28 bis 31 aufgeführten Fächer ausgenommen.</w:t>
      </w:r>
    </w:p>
    <w:p>
      <w:r>
        <w:t xml:space="preserve">(3) Die Abweichungen nach Absatz 1 setzen voraus, dass</w:t>
      </w:r>
    </w:p>
    <w:p>
      <w:pPr>
        <w:ind w:left="420"/>
      </w:pPr>
      <w:r>
        <w:t xml:space="preserve">1. die Ausbildungsziele nach § 1 Abs. 1 als Grundlage der Approbation nach § 4 Abs. 1 der Bundes-Tierärzteordnung nicht gefährdet werden,</w:t>
      </w:r>
    </w:p>
    <w:p>
      <w:pPr>
        <w:ind w:left="420"/>
      </w:pPr>
      <w:r>
        <w:t xml:space="preserve">2. sichergestellt ist, dass den Anforderungen des Artikels 38 der Richtlinie 2005/36/EG Genüge getan wird,</w:t>
      </w:r>
    </w:p>
    <w:p>
      <w:pPr>
        <w:ind w:left="420"/>
      </w:pPr>
      <w:r>
        <w:t xml:space="preserve">3. die Voraussetzungen, unter denen die Universität die Abweichungen rückgängig machen kann, geregelt sind,</w:t>
      </w:r>
    </w:p>
    <w:p>
      <w:pPr>
        <w:ind w:left="420"/>
      </w:pPr>
      <w:r>
        <w:t xml:space="preserve">4. ein Wechsel der Universität für Studierende weiterhin möglich bleibt.</w:t>
      </w:r>
    </w:p>
    <w:p>
      <w:r>
        <w:t xml:space="preserve">(4) Die Universitäten, die von der Abweichung nach Absatz 1 Gebrauch machen, teilen dieses der zuständigen Behörde mit einer Beschreibung des Erprobungsziels und der erwarteten qualitativen Verbesserungen für die tiermedizinische Ausbildung mit. Sie legen auf Anforderung der zuständigen Behörde einen Bericht über die gewonnenen Erfahrungen vor.</w:t>
      </w:r>
    </w:p>
    <w:p>
      <w:r>
        <w:rPr>
          <w:color w:val="555555"/>
          <w:sz w:val="17"/>
        </w:rPr>
        <w:t xml:space="preserve">Zitiervorschlag: § 3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