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TAmbV</w:t>
      </w:r>
    </w:p>
    <w:p>
      <w:r>
        <w:rPr>
          <w:color w:val="555555"/>
          <w:sz w:val="18"/>
        </w:rPr>
        <w:t xml:space="preserve">Traumaambulanz-Verordnung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38 Satz 1 des Sozialgesetzbuchs Vierzehntes Buch – Soziale Entschädigung – vom 12. Dezember 2019 (BGBl. I S. 2652) verordnet das Bundesministerium für Arbeit und Soziales:</w:t>
      </w:r>
    </w:p>
    <w:p>
      <w:r>
        <w:rPr>
          <w:color w:val="555555"/>
          <w:sz w:val="17"/>
        </w:rPr>
        <w:t xml:space="preserve">Zitiervorschlag: Eingangsformel TAmbV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