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TAmbV — Schweigepflicht</w:t>
      </w:r>
    </w:p>
    <w:p>
      <w:r>
        <w:rPr>
          <w:color w:val="555555"/>
          <w:sz w:val="18"/>
        </w:rPr>
        <w:t xml:space="preserve">Traumaambulanz-Verordnung</w:t>
      </w:r>
    </w:p>
    <w:p>
      <w:r>
        <w:rPr>
          <w:color w:val="555555"/>
          <w:sz w:val="18"/>
        </w:rPr>
        <w:t xml:space="preserve">Stand: 01.01.2024 (konsolidierte Textfassung, kein amtliches Inkrafttretensdatum)</w:t>
      </w:r>
    </w:p>
    <w:p>
      <w:r>
        <w:t xml:space="preserve">(1) Die Mitarbeiter und Mitarbeiterinnen der Traumaambulanz unterliegen der Schweigepflicht. Sie müssen die Leistungsberechtigten und die Sorgeberechtigten minderjähriger Leistungsberechtigter über die Schweigepflicht und die vertrauliche Behandlung des Inhalts der Sitzungen in der Traumaambulanz informieren.</w:t>
      </w:r>
    </w:p>
    <w:p>
      <w:r>
        <w:t xml:space="preserve">(2) Mit Einverständnis der Leistungsberechtigten übermitteln die Mitarbeiter und Mitarbeiterinnen der Traumaambulanz zum Zwecke der Sachverhaltsaufklärung Informationen zum schädigenden Ereignis an die nach Landesrecht für das Soziale Entschädigungsrecht zuständige Behörde. Kann der Leistungsberechtigte nicht selbst in die Übermittlung einwilligen, ist das Einverständnis eines hierzu Berechtigten einzuholen.</w:t>
      </w:r>
    </w:p>
    <w:p>
      <w:r>
        <w:rPr>
          <w:color w:val="555555"/>
          <w:sz w:val="17"/>
        </w:rPr>
        <w:t xml:space="preserve">Zitiervorschlag: § 9 TAmbV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