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TAmbV — Erreichbarkeit</w:t>
      </w:r>
    </w:p>
    <w:p>
      <w:r>
        <w:rPr>
          <w:color w:val="555555"/>
          <w:sz w:val="18"/>
        </w:rPr>
        <w:t xml:space="preserve">Traumaambulanz-Verordnung</w:t>
      </w:r>
    </w:p>
    <w:p>
      <w:r>
        <w:rPr>
          <w:color w:val="555555"/>
          <w:sz w:val="18"/>
        </w:rPr>
        <w:t xml:space="preserve">Stand: 01.01.2024 (konsolidierte Textfassung, kein amtliches Inkrafttretensdatum)</w:t>
      </w:r>
    </w:p>
    <w:p>
      <w:r>
        <w:t xml:space="preserve">(1) Die Traumaambulanz bietet Sitzungstermine zu den allgemeinen Geschäftszeiten an.</w:t>
      </w:r>
    </w:p>
    <w:p>
      <w:r>
        <w:t xml:space="preserve">(2) Die Traumaambulanz muss über eine Webseite verfügen, die Informationen zur Erreichbarkeit der Traumaambulanz enthält. Die Informationen sind auch in barrierefreier Form verfasst. Zur besseren Auffindbarkeit soll sich die Traumaambulanz in Datenbanken oder auf Portalen registrieren, auf denen Betroffene Hilfe suchen. Hierzu zählen die Online-Datenbank für Betroffene von Straftaten und das Hilfeportal Sexueller Missbrauch.</w:t>
      </w:r>
    </w:p>
    <w:p>
      <w:r>
        <w:t xml:space="preserve">(3) Die Traumaambulanz muss zu jeder Zeit telefonisch erreichbar sein. Außerhalb der allgemeinen Geschäftszeiten genügt die Erreichbarkeit eines Anrufbeantworters, wenn sichergestellt ist, dass die anrufende Person auf ihren Wunsch am nächsten Werktag zurückgerufen wird. Der Mitarbeiter oder die Mitarbeiterin, der oder die die Anrufe entgegennimmt, soll über Kenntnisse zum traumasensiblen Umgang mit den Anrufenden verfügen.</w:t>
      </w:r>
    </w:p>
    <w:p>
      <w:r>
        <w:t xml:space="preserve">(4) Die Traumaambulanz hat sicherzustellen, dass Leistungsberechtigte auf Wunsch spätestens fünf Werktage nach ihrer Kontaktaufnahme einen Termin zur Erbringung von Leistungen der Traumaambulanz erhalten. Ist der Traumaambulanz eine Erbringung von Leistungen innerhalb dieser Frist im Einzelfall nicht möglich, verlängert sich diese auf bis zu zehn Werktage.</w:t>
      </w:r>
    </w:p>
    <w:p>
      <w:r>
        <w:rPr>
          <w:color w:val="555555"/>
          <w:sz w:val="17"/>
        </w:rPr>
        <w:t xml:space="preserve">Zitiervorschlag: § 8 TAmbV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